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26BE" w:rsidRDefault="00FC26BE">
      <w:pPr>
        <w:rPr>
          <w:rtl/>
        </w:rPr>
      </w:pPr>
    </w:p>
    <w:p w:rsidR="00FC26BE" w:rsidRDefault="00FC26BE">
      <w:pPr>
        <w:rPr>
          <w:rtl/>
        </w:rPr>
      </w:pPr>
    </w:p>
    <w:p w:rsidR="00FC26BE" w:rsidRDefault="00FC26BE">
      <w:pPr>
        <w:rPr>
          <w:rtl/>
        </w:rPr>
      </w:pPr>
    </w:p>
    <w:p w:rsidR="00FC26BE" w:rsidRDefault="00FC26BE">
      <w:pPr>
        <w:rPr>
          <w:rtl/>
        </w:rPr>
      </w:pPr>
    </w:p>
    <w:p w:rsidR="00FC26BE" w:rsidRDefault="00FC26BE">
      <w:pPr>
        <w:rPr>
          <w:rtl/>
        </w:rPr>
      </w:pPr>
    </w:p>
    <w:p w:rsidR="00FC26BE" w:rsidRDefault="00FC26BE">
      <w:pPr>
        <w:rPr>
          <w:rtl/>
        </w:rPr>
      </w:pPr>
    </w:p>
    <w:p w:rsidR="00FC26BE" w:rsidRDefault="00FC26BE">
      <w:pPr>
        <w:rPr>
          <w:rtl/>
        </w:rPr>
      </w:pPr>
    </w:p>
    <w:p w:rsidR="00FC26BE" w:rsidRDefault="00FC26BE">
      <w:pPr>
        <w:rPr>
          <w:rtl/>
        </w:rPr>
      </w:pPr>
    </w:p>
    <w:p w:rsidR="00FC26BE" w:rsidRDefault="00FC26BE">
      <w:pPr>
        <w:rPr>
          <w:rtl/>
        </w:rPr>
      </w:pPr>
    </w:p>
    <w:p w:rsidR="00FC26BE" w:rsidRDefault="00FC26BE" w:rsidP="00FC26BE">
      <w:pPr>
        <w:pStyle w:val="a7"/>
        <w:jc w:val="center"/>
        <w:rPr>
          <w:rFonts w:cs="FrankRuehl"/>
          <w:noProof w:val="0"/>
          <w:sz w:val="28"/>
          <w:szCs w:val="28"/>
        </w:rPr>
      </w:pPr>
      <w:r>
        <w:rPr>
          <w:rFonts w:cs="FrankRuehl"/>
          <w:sz w:val="28"/>
          <w:szCs w:val="28"/>
        </w:rPr>
        <w:drawing>
          <wp:inline distT="0" distB="0" distL="0" distR="0">
            <wp:extent cx="371475" cy="466725"/>
            <wp:effectExtent l="0" t="0" r="9525" b="952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09"/>
        <w:gridCol w:w="3497"/>
      </w:tblGrid>
      <w:tr w:rsidR="00FC26BE" w:rsidTr="00FC26BE">
        <w:trPr>
          <w:trHeight w:val="670"/>
          <w:jc w:val="center"/>
        </w:trPr>
        <w:sdt>
          <w:sdtPr>
            <w:rPr>
              <w:rtl/>
            </w:rPr>
            <w:alias w:val="1174"/>
            <w:tag w:val="1174"/>
            <w:id w:val="-1775709220"/>
            <w:text/>
          </w:sdtPr>
          <w:sdtEndPr/>
          <w:sdtContent>
            <w:tc>
              <w:tcPr>
                <w:tcW w:w="8721" w:type="dxa"/>
                <w:gridSpan w:val="2"/>
                <w:hideMark/>
              </w:tcPr>
              <w:p w:rsidR="00FC26BE" w:rsidRDefault="00FC26BE">
                <w:pPr>
                  <w:pStyle w:val="a7"/>
                  <w:jc w:val="center"/>
                  <w:rPr>
                    <w:rtl/>
                  </w:rPr>
                </w:pPr>
                <w:r>
                  <w:rPr>
                    <w:rFonts w:ascii="Tahoma" w:hAnsi="Tahoma" w:cs="Tahoma"/>
                    <w:b/>
                    <w:bCs/>
                    <w:noProof w:val="0"/>
                    <w:color w:val="000080"/>
                    <w:rtl/>
                  </w:rPr>
                  <w:t>בית משפט לענייני משפחה באילת</w:t>
                </w:r>
              </w:p>
            </w:tc>
          </w:sdtContent>
        </w:sdt>
      </w:tr>
      <w:tr w:rsidR="00FC26BE" w:rsidTr="00FC26BE">
        <w:trPr>
          <w:trHeight w:val="337"/>
          <w:jc w:val="center"/>
        </w:trPr>
        <w:tc>
          <w:tcPr>
            <w:tcW w:w="5047" w:type="dxa"/>
          </w:tcPr>
          <w:p w:rsidR="00FC26BE" w:rsidRDefault="00FC26BE">
            <w:pPr>
              <w:rPr>
                <w:b/>
                <w:bCs/>
                <w:noProof w:val="0"/>
                <w:sz w:val="26"/>
                <w:szCs w:val="26"/>
                <w:rtl/>
              </w:rPr>
            </w:pPr>
          </w:p>
        </w:tc>
        <w:tc>
          <w:tcPr>
            <w:tcW w:w="3674" w:type="dxa"/>
          </w:tcPr>
          <w:p w:rsidR="00FC26BE" w:rsidRDefault="00FC26BE">
            <w:pPr>
              <w:pStyle w:val="a7"/>
              <w:jc w:val="right"/>
              <w:rPr>
                <w:b/>
                <w:bCs/>
                <w:noProof w:val="0"/>
                <w:sz w:val="26"/>
                <w:szCs w:val="26"/>
                <w:rtl/>
              </w:rPr>
            </w:pPr>
          </w:p>
        </w:tc>
      </w:tr>
      <w:tr w:rsidR="00FC26BE" w:rsidTr="00FC26BE">
        <w:trPr>
          <w:trHeight w:val="337"/>
          <w:jc w:val="center"/>
        </w:trPr>
        <w:tc>
          <w:tcPr>
            <w:tcW w:w="8721" w:type="dxa"/>
            <w:gridSpan w:val="2"/>
          </w:tcPr>
          <w:p w:rsidR="00FC26BE" w:rsidRDefault="00FC26BE" w:rsidP="00FC26BE">
            <w:pPr>
              <w:rPr>
                <w:b/>
                <w:bCs/>
                <w:noProof w:val="0"/>
                <w:sz w:val="26"/>
                <w:szCs w:val="26"/>
                <w:rtl/>
              </w:rPr>
            </w:pPr>
            <w:r>
              <w:rPr>
                <w:b/>
                <w:bCs/>
                <w:noProof w:val="0"/>
                <w:sz w:val="26"/>
                <w:szCs w:val="26"/>
                <w:rtl/>
              </w:rPr>
              <w:t xml:space="preserve">תלה"מ </w:t>
            </w:r>
            <w:bookmarkStart w:id="0" w:name="_GoBack"/>
            <w:r>
              <w:rPr>
                <w:b/>
                <w:bCs/>
                <w:noProof w:val="0"/>
                <w:sz w:val="26"/>
                <w:szCs w:val="26"/>
                <w:rtl/>
              </w:rPr>
              <w:t>38480-04-19</w:t>
            </w:r>
            <w:bookmarkEnd w:id="0"/>
            <w:r>
              <w:rPr>
                <w:b/>
                <w:bCs/>
                <w:noProof w:val="0"/>
                <w:sz w:val="26"/>
                <w:szCs w:val="26"/>
                <w:rtl/>
              </w:rPr>
              <w:t xml:space="preserve"> כ נ' כ</w:t>
            </w:r>
          </w:p>
        </w:tc>
      </w:tr>
    </w:tbl>
    <w:tbl>
      <w:tblPr>
        <w:tblStyle w:val="a6"/>
        <w:bidiVisual/>
        <w:tblW w:w="8826"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12"/>
        <w:gridCol w:w="5565"/>
        <w:gridCol w:w="6"/>
      </w:tblGrid>
      <w:tr w:rsidR="00FC26BE" w:rsidTr="00FC26BE">
        <w:trPr>
          <w:gridAfter w:val="1"/>
          <w:wAfter w:w="6" w:type="dxa"/>
          <w:jc w:val="center"/>
        </w:trPr>
        <w:tc>
          <w:tcPr>
            <w:tcW w:w="743" w:type="dxa"/>
            <w:hideMark/>
          </w:tcPr>
          <w:p w:rsidR="00FC26BE" w:rsidRDefault="00FC26BE">
            <w:pPr>
              <w:jc w:val="both"/>
              <w:rPr>
                <w:rFonts w:ascii="Arial (W1)" w:hAnsi="Arial (W1)"/>
                <w:b/>
                <w:bCs/>
                <w:sz w:val="26"/>
                <w:szCs w:val="26"/>
                <w:rtl/>
              </w:rPr>
            </w:pPr>
          </w:p>
          <w:p w:rsidR="00FC26BE" w:rsidRDefault="00FC26BE">
            <w:pPr>
              <w:jc w:val="both"/>
              <w:rPr>
                <w:rFonts w:ascii="Arial (W1)" w:hAnsi="Arial (W1)"/>
                <w:b/>
                <w:bCs/>
                <w:sz w:val="26"/>
                <w:szCs w:val="26"/>
                <w:rtl/>
              </w:rPr>
            </w:pPr>
          </w:p>
          <w:p w:rsidR="00FC26BE" w:rsidRDefault="00FC26BE">
            <w:pPr>
              <w:jc w:val="both"/>
              <w:rPr>
                <w:rFonts w:ascii="Arial (W1)" w:hAnsi="Arial (W1)"/>
                <w:b/>
                <w:bCs/>
                <w:sz w:val="26"/>
                <w:szCs w:val="26"/>
                <w:rtl/>
              </w:rPr>
            </w:pPr>
          </w:p>
          <w:p w:rsidR="00FC26BE" w:rsidRDefault="00FC26BE">
            <w:pPr>
              <w:jc w:val="both"/>
              <w:rPr>
                <w:rFonts w:ascii="Arial (W1)" w:hAnsi="Arial (W1)"/>
                <w:b/>
                <w:bCs/>
                <w:sz w:val="26"/>
                <w:szCs w:val="26"/>
                <w:rtl/>
              </w:rPr>
            </w:pPr>
          </w:p>
          <w:p w:rsidR="00FC26BE" w:rsidRDefault="00FC26BE">
            <w:pPr>
              <w:jc w:val="both"/>
              <w:rPr>
                <w:rFonts w:ascii="Arial (W1)" w:hAnsi="Arial (W1)"/>
                <w:b/>
                <w:bCs/>
                <w:sz w:val="26"/>
                <w:szCs w:val="26"/>
              </w:rPr>
            </w:pPr>
            <w:r>
              <w:rPr>
                <w:rFonts w:ascii="Arial (W1)" w:hAnsi="Arial (W1)" w:hint="cs"/>
                <w:b/>
                <w:bCs/>
                <w:sz w:val="26"/>
                <w:szCs w:val="26"/>
                <w:rtl/>
              </w:rPr>
              <w:t>בפני</w:t>
            </w:r>
          </w:p>
        </w:tc>
        <w:tc>
          <w:tcPr>
            <w:tcW w:w="8077" w:type="dxa"/>
            <w:gridSpan w:val="2"/>
            <w:hideMark/>
          </w:tcPr>
          <w:p w:rsidR="00FC26BE" w:rsidRDefault="00FC26BE">
            <w:pPr>
              <w:jc w:val="left"/>
              <w:rPr>
                <w:rFonts w:ascii="Arial" w:hAnsi="Arial"/>
                <w:b/>
                <w:bCs/>
                <w:sz w:val="26"/>
                <w:szCs w:val="26"/>
                <w:rtl/>
              </w:rPr>
            </w:pPr>
          </w:p>
          <w:p w:rsidR="00FC26BE" w:rsidRDefault="00FC26BE">
            <w:pPr>
              <w:jc w:val="left"/>
              <w:rPr>
                <w:rFonts w:ascii="Arial" w:hAnsi="Arial"/>
                <w:b/>
                <w:bCs/>
                <w:sz w:val="26"/>
                <w:szCs w:val="26"/>
                <w:rtl/>
              </w:rPr>
            </w:pPr>
          </w:p>
          <w:p w:rsidR="00FC26BE" w:rsidRDefault="00FC26BE">
            <w:pPr>
              <w:jc w:val="left"/>
              <w:rPr>
                <w:rFonts w:ascii="Arial" w:hAnsi="Arial"/>
                <w:b/>
                <w:bCs/>
                <w:sz w:val="26"/>
                <w:szCs w:val="26"/>
                <w:rtl/>
              </w:rPr>
            </w:pPr>
          </w:p>
          <w:p w:rsidR="00FC26BE" w:rsidRDefault="00FC26BE">
            <w:pPr>
              <w:jc w:val="left"/>
              <w:rPr>
                <w:rFonts w:ascii="Arial" w:hAnsi="Arial"/>
                <w:b/>
                <w:bCs/>
                <w:sz w:val="26"/>
                <w:szCs w:val="26"/>
                <w:rtl/>
              </w:rPr>
            </w:pPr>
          </w:p>
          <w:p w:rsidR="00FC26BE" w:rsidRDefault="00FC26BE">
            <w:pPr>
              <w:jc w:val="left"/>
              <w:rPr>
                <w:sz w:val="26"/>
                <w:szCs w:val="26"/>
                <w:rtl/>
              </w:rPr>
            </w:pPr>
            <w:r>
              <w:rPr>
                <w:rFonts w:ascii="Arial" w:hAnsi="Arial"/>
                <w:b/>
                <w:bCs/>
                <w:sz w:val="26"/>
                <w:szCs w:val="26"/>
                <w:rtl/>
              </w:rPr>
              <w:t>כב' השופט הבכיר, מרדכי (מוטי) לוי</w:t>
            </w:r>
          </w:p>
          <w:p w:rsidR="00FC26BE" w:rsidRDefault="00FC26BE">
            <w:pPr>
              <w:jc w:val="left"/>
              <w:rPr>
                <w:sz w:val="26"/>
                <w:szCs w:val="26"/>
              </w:rPr>
            </w:pPr>
          </w:p>
        </w:tc>
      </w:tr>
      <w:tr w:rsidR="00FC26BE" w:rsidTr="00FC26BE">
        <w:trPr>
          <w:jc w:val="center"/>
        </w:trPr>
        <w:tc>
          <w:tcPr>
            <w:tcW w:w="3255" w:type="dxa"/>
            <w:gridSpan w:val="2"/>
          </w:tcPr>
          <w:p w:rsidR="00FC26BE" w:rsidRDefault="00FC26BE">
            <w:pPr>
              <w:bidi w:val="0"/>
              <w:rPr>
                <w:rFonts w:ascii="Arial (W1)" w:hAnsi="Arial (W1)"/>
                <w:b/>
                <w:bCs/>
                <w:noProof w:val="0"/>
                <w:sz w:val="26"/>
                <w:szCs w:val="26"/>
              </w:rPr>
            </w:pPr>
          </w:p>
          <w:p w:rsidR="00FC26BE" w:rsidRDefault="00FC26BE">
            <w:pPr>
              <w:jc w:val="left"/>
              <w:rPr>
                <w:rFonts w:ascii="Arial (W1)" w:hAnsi="Arial (W1)"/>
                <w:b/>
                <w:bCs/>
                <w:noProof w:val="0"/>
                <w:sz w:val="26"/>
                <w:szCs w:val="26"/>
                <w:rtl/>
              </w:rPr>
            </w:pPr>
            <w:r>
              <w:rPr>
                <w:b/>
                <w:bCs/>
                <w:noProof w:val="0"/>
                <w:sz w:val="26"/>
                <w:szCs w:val="26"/>
                <w:rtl/>
              </w:rPr>
              <w:t>תובע</w:t>
            </w:r>
            <w:r>
              <w:rPr>
                <w:rFonts w:ascii="Arial (W1)" w:hAnsi="Arial (W1)"/>
                <w:b/>
                <w:bCs/>
                <w:noProof w:val="0"/>
                <w:sz w:val="26"/>
                <w:szCs w:val="26"/>
                <w:rtl/>
              </w:rPr>
              <w:t>ת</w:t>
            </w:r>
          </w:p>
          <w:p w:rsidR="00FC26BE" w:rsidRDefault="00FC26BE">
            <w:pPr>
              <w:jc w:val="left"/>
              <w:rPr>
                <w:rFonts w:ascii="Arial (W1)" w:hAnsi="Arial (W1)"/>
                <w:b/>
                <w:bCs/>
                <w:noProof w:val="0"/>
                <w:sz w:val="22"/>
                <w:szCs w:val="22"/>
                <w:rtl/>
              </w:rPr>
            </w:pPr>
            <w:r>
              <w:rPr>
                <w:rFonts w:ascii="Arial (W1)" w:hAnsi="Arial (W1)"/>
                <w:b/>
                <w:bCs/>
                <w:noProof w:val="0"/>
                <w:sz w:val="22"/>
                <w:szCs w:val="22"/>
                <w:rtl/>
              </w:rPr>
              <w:t xml:space="preserve">(נתבעת ב-תלה"מ </w:t>
            </w:r>
          </w:p>
          <w:p w:rsidR="00FC26BE" w:rsidRDefault="00FC26BE">
            <w:pPr>
              <w:jc w:val="left"/>
              <w:rPr>
                <w:rFonts w:ascii="Arial (W1)" w:hAnsi="Arial (W1)"/>
                <w:b/>
                <w:bCs/>
                <w:noProof w:val="0"/>
                <w:sz w:val="26"/>
                <w:szCs w:val="26"/>
                <w:rtl/>
              </w:rPr>
            </w:pPr>
            <w:r>
              <w:rPr>
                <w:rFonts w:ascii="Arial (W1)" w:hAnsi="Arial (W1)"/>
                <w:b/>
                <w:bCs/>
                <w:noProof w:val="0"/>
                <w:sz w:val="22"/>
                <w:szCs w:val="22"/>
                <w:rtl/>
              </w:rPr>
              <w:t>61437-05-19)</w:t>
            </w:r>
          </w:p>
        </w:tc>
        <w:tc>
          <w:tcPr>
            <w:tcW w:w="5571" w:type="dxa"/>
            <w:gridSpan w:val="2"/>
          </w:tcPr>
          <w:p w:rsidR="00FC26BE" w:rsidRDefault="00FC26BE">
            <w:pPr>
              <w:rPr>
                <w:rFonts w:ascii="Arial (W1)" w:hAnsi="Arial (W1)"/>
                <w:b/>
                <w:bCs/>
                <w:noProof w:val="0"/>
                <w:sz w:val="26"/>
                <w:szCs w:val="26"/>
              </w:rPr>
            </w:pPr>
          </w:p>
          <w:p w:rsidR="00FC26BE" w:rsidRDefault="00FC26BE" w:rsidP="00FC26BE">
            <w:pPr>
              <w:jc w:val="left"/>
              <w:rPr>
                <w:b/>
                <w:bCs/>
                <w:noProof w:val="0"/>
                <w:sz w:val="26"/>
                <w:szCs w:val="26"/>
                <w:rtl/>
              </w:rPr>
            </w:pPr>
            <w:proofErr w:type="spellStart"/>
            <w:r>
              <w:rPr>
                <w:b/>
                <w:bCs/>
                <w:noProof w:val="0"/>
                <w:sz w:val="26"/>
                <w:szCs w:val="26"/>
                <w:rtl/>
              </w:rPr>
              <w:t>ש</w:t>
            </w:r>
            <w:r>
              <w:rPr>
                <w:rFonts w:hint="cs"/>
                <w:b/>
                <w:bCs/>
                <w:noProof w:val="0"/>
                <w:sz w:val="26"/>
                <w:szCs w:val="26"/>
                <w:rtl/>
              </w:rPr>
              <w:t>.</w:t>
            </w:r>
            <w:r>
              <w:rPr>
                <w:b/>
                <w:bCs/>
                <w:noProof w:val="0"/>
                <w:sz w:val="26"/>
                <w:szCs w:val="26"/>
                <w:rtl/>
              </w:rPr>
              <w:t>ז</w:t>
            </w:r>
            <w:r>
              <w:rPr>
                <w:rFonts w:hint="cs"/>
                <w:b/>
                <w:bCs/>
                <w:noProof w:val="0"/>
                <w:sz w:val="26"/>
                <w:szCs w:val="26"/>
                <w:rtl/>
              </w:rPr>
              <w:t>.</w:t>
            </w:r>
            <w:r>
              <w:rPr>
                <w:b/>
                <w:bCs/>
                <w:noProof w:val="0"/>
                <w:sz w:val="26"/>
                <w:szCs w:val="26"/>
                <w:rtl/>
              </w:rPr>
              <w:t>כ</w:t>
            </w:r>
            <w:proofErr w:type="spellEnd"/>
            <w:r>
              <w:rPr>
                <w:rFonts w:hint="cs"/>
                <w:b/>
                <w:bCs/>
                <w:noProof w:val="0"/>
                <w:sz w:val="26"/>
                <w:szCs w:val="26"/>
                <w:rtl/>
              </w:rPr>
              <w:t>.</w:t>
            </w:r>
          </w:p>
          <w:p w:rsidR="00FC26BE" w:rsidRDefault="00FC26BE">
            <w:pPr>
              <w:jc w:val="left"/>
              <w:rPr>
                <w:rFonts w:ascii="Arial (W1)" w:hAnsi="Arial (W1)"/>
                <w:noProof w:val="0"/>
                <w:rtl/>
              </w:rPr>
            </w:pPr>
            <w:r>
              <w:rPr>
                <w:rFonts w:ascii="Arial (W1)" w:hAnsi="Arial (W1)"/>
                <w:noProof w:val="0"/>
                <w:rtl/>
              </w:rPr>
              <w:t xml:space="preserve">מיוצגת ע"י עו"ד אור </w:t>
            </w:r>
            <w:proofErr w:type="spellStart"/>
            <w:r>
              <w:rPr>
                <w:rFonts w:ascii="Arial (W1)" w:hAnsi="Arial (W1)"/>
                <w:noProof w:val="0"/>
                <w:rtl/>
              </w:rPr>
              <w:t>ליסקר</w:t>
            </w:r>
            <w:proofErr w:type="spellEnd"/>
          </w:p>
        </w:tc>
      </w:tr>
      <w:tr w:rsidR="00FC26BE" w:rsidTr="00FC26BE">
        <w:trPr>
          <w:gridAfter w:val="1"/>
          <w:wAfter w:w="6" w:type="dxa"/>
          <w:jc w:val="center"/>
        </w:trPr>
        <w:tc>
          <w:tcPr>
            <w:tcW w:w="8820" w:type="dxa"/>
            <w:gridSpan w:val="3"/>
            <w:hideMark/>
          </w:tcPr>
          <w:p w:rsidR="00FC26BE" w:rsidRDefault="00FC26BE">
            <w:pPr>
              <w:jc w:val="center"/>
              <w:rPr>
                <w:rFonts w:ascii="Arial (W1)" w:hAnsi="Arial (W1)"/>
                <w:b/>
                <w:bCs/>
                <w:noProof w:val="0"/>
                <w:sz w:val="28"/>
                <w:szCs w:val="28"/>
              </w:rPr>
            </w:pPr>
            <w:r>
              <w:rPr>
                <w:b/>
                <w:bCs/>
                <w:noProof w:val="0"/>
                <w:sz w:val="28"/>
                <w:rtl/>
              </w:rPr>
              <w:t>נגד</w:t>
            </w:r>
          </w:p>
        </w:tc>
      </w:tr>
      <w:tr w:rsidR="00FC26BE" w:rsidTr="00FC26BE">
        <w:trPr>
          <w:jc w:val="center"/>
        </w:trPr>
        <w:tc>
          <w:tcPr>
            <w:tcW w:w="3255" w:type="dxa"/>
            <w:gridSpan w:val="2"/>
          </w:tcPr>
          <w:p w:rsidR="00FC26BE" w:rsidRDefault="00FC26BE">
            <w:pPr>
              <w:rPr>
                <w:rFonts w:ascii="Arial (W1)" w:hAnsi="Arial (W1)"/>
                <w:b/>
                <w:bCs/>
                <w:noProof w:val="0"/>
                <w:sz w:val="28"/>
                <w:szCs w:val="28"/>
              </w:rPr>
            </w:pPr>
          </w:p>
          <w:p w:rsidR="00FC26BE" w:rsidRDefault="00FC26BE">
            <w:pPr>
              <w:jc w:val="left"/>
              <w:rPr>
                <w:rFonts w:ascii="Arial (W1)" w:hAnsi="Arial (W1)"/>
                <w:b/>
                <w:bCs/>
                <w:noProof w:val="0"/>
                <w:sz w:val="28"/>
                <w:szCs w:val="28"/>
                <w:rtl/>
              </w:rPr>
            </w:pPr>
            <w:r>
              <w:rPr>
                <w:b/>
                <w:bCs/>
                <w:noProof w:val="0"/>
                <w:sz w:val="28"/>
                <w:rtl/>
              </w:rPr>
              <w:t>נתבע</w:t>
            </w:r>
          </w:p>
          <w:p w:rsidR="00FC26BE" w:rsidRDefault="00FC26BE">
            <w:pPr>
              <w:jc w:val="left"/>
              <w:rPr>
                <w:rFonts w:ascii="Arial (W1)" w:hAnsi="Arial (W1)"/>
                <w:b/>
                <w:bCs/>
                <w:noProof w:val="0"/>
                <w:sz w:val="22"/>
                <w:szCs w:val="22"/>
                <w:rtl/>
              </w:rPr>
            </w:pPr>
            <w:r>
              <w:rPr>
                <w:rFonts w:ascii="Arial (W1)" w:hAnsi="Arial (W1)"/>
                <w:b/>
                <w:bCs/>
                <w:noProof w:val="0"/>
                <w:sz w:val="22"/>
                <w:szCs w:val="22"/>
                <w:rtl/>
              </w:rPr>
              <w:t xml:space="preserve">תובע ב-תלה"מ </w:t>
            </w:r>
          </w:p>
          <w:p w:rsidR="00FC26BE" w:rsidRDefault="00FC26BE">
            <w:pPr>
              <w:jc w:val="left"/>
              <w:rPr>
                <w:rFonts w:ascii="Arial (W1)" w:hAnsi="Arial (W1)"/>
                <w:b/>
                <w:bCs/>
                <w:noProof w:val="0"/>
                <w:sz w:val="28"/>
                <w:szCs w:val="28"/>
                <w:rtl/>
              </w:rPr>
            </w:pPr>
            <w:r>
              <w:rPr>
                <w:rFonts w:ascii="Arial (W1)" w:hAnsi="Arial (W1)"/>
                <w:b/>
                <w:bCs/>
                <w:noProof w:val="0"/>
                <w:sz w:val="22"/>
                <w:szCs w:val="22"/>
                <w:rtl/>
              </w:rPr>
              <w:t>61437-05-19)</w:t>
            </w:r>
          </w:p>
        </w:tc>
        <w:tc>
          <w:tcPr>
            <w:tcW w:w="5571" w:type="dxa"/>
            <w:gridSpan w:val="2"/>
          </w:tcPr>
          <w:p w:rsidR="00FC26BE" w:rsidRDefault="00FC26BE">
            <w:pPr>
              <w:rPr>
                <w:rFonts w:ascii="Arial (W1)" w:hAnsi="Arial (W1)"/>
                <w:b/>
                <w:bCs/>
                <w:noProof w:val="0"/>
                <w:sz w:val="28"/>
                <w:szCs w:val="28"/>
              </w:rPr>
            </w:pPr>
          </w:p>
          <w:p w:rsidR="00FC26BE" w:rsidRDefault="00FC26BE" w:rsidP="00FC26BE">
            <w:pPr>
              <w:jc w:val="left"/>
              <w:rPr>
                <w:rFonts w:ascii="Arial (W1)" w:hAnsi="Arial (W1)"/>
                <w:b/>
                <w:bCs/>
                <w:noProof w:val="0"/>
                <w:sz w:val="28"/>
                <w:szCs w:val="28"/>
                <w:rtl/>
              </w:rPr>
            </w:pPr>
            <w:r>
              <w:rPr>
                <w:b/>
                <w:bCs/>
                <w:noProof w:val="0"/>
                <w:sz w:val="28"/>
                <w:rtl/>
              </w:rPr>
              <w:t>א</w:t>
            </w:r>
            <w:r>
              <w:rPr>
                <w:rFonts w:hint="cs"/>
                <w:b/>
                <w:bCs/>
                <w:noProof w:val="0"/>
                <w:sz w:val="28"/>
                <w:rtl/>
              </w:rPr>
              <w:t>.</w:t>
            </w:r>
            <w:r>
              <w:rPr>
                <w:b/>
                <w:bCs/>
                <w:noProof w:val="0"/>
                <w:sz w:val="28"/>
                <w:rtl/>
              </w:rPr>
              <w:t>י</w:t>
            </w:r>
            <w:r>
              <w:rPr>
                <w:rFonts w:hint="cs"/>
                <w:b/>
                <w:bCs/>
                <w:noProof w:val="0"/>
                <w:sz w:val="28"/>
                <w:rtl/>
              </w:rPr>
              <w:t>.</w:t>
            </w:r>
            <w:r>
              <w:rPr>
                <w:b/>
                <w:bCs/>
                <w:noProof w:val="0"/>
                <w:sz w:val="28"/>
                <w:rtl/>
              </w:rPr>
              <w:t xml:space="preserve"> כ</w:t>
            </w:r>
            <w:r>
              <w:rPr>
                <w:rFonts w:hint="cs"/>
                <w:b/>
                <w:bCs/>
                <w:noProof w:val="0"/>
                <w:sz w:val="28"/>
                <w:rtl/>
              </w:rPr>
              <w:t>.</w:t>
            </w:r>
          </w:p>
          <w:p w:rsidR="00FC26BE" w:rsidRDefault="00FC26BE">
            <w:pPr>
              <w:jc w:val="left"/>
              <w:rPr>
                <w:rFonts w:ascii="Arial (W1)" w:hAnsi="Arial (W1)"/>
                <w:noProof w:val="0"/>
                <w:rtl/>
              </w:rPr>
            </w:pPr>
            <w:r>
              <w:rPr>
                <w:rFonts w:ascii="Arial (W1)" w:hAnsi="Arial (W1)"/>
                <w:noProof w:val="0"/>
                <w:rtl/>
              </w:rPr>
              <w:t>מיוצג ע"י עו"ד עידית גור אריה</w:t>
            </w:r>
          </w:p>
        </w:tc>
      </w:tr>
    </w:tbl>
    <w:p w:rsidR="00FC26BE" w:rsidRDefault="00FC26BE" w:rsidP="00FC26BE">
      <w:pPr>
        <w:suppressLineNumbers/>
        <w:rPr>
          <w:rFonts w:ascii="Arial (W1)" w:hAnsi="Arial (W1)"/>
          <w:sz w:val="28"/>
          <w:szCs w:val="28"/>
        </w:rPr>
      </w:pPr>
    </w:p>
    <w:p w:rsidR="00FC26BE" w:rsidRDefault="00FC26BE" w:rsidP="00FC26BE">
      <w:pPr>
        <w:suppressLineNumbers/>
        <w:rPr>
          <w:rtl/>
        </w:rPr>
      </w:pPr>
    </w:p>
    <w:tbl>
      <w:tblPr>
        <w:tblStyle w:val="a6"/>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C26BE" w:rsidTr="00FC26BE">
        <w:trPr>
          <w:jc w:val="center"/>
        </w:trPr>
        <w:tc>
          <w:tcPr>
            <w:tcW w:w="8820" w:type="dxa"/>
            <w:hideMark/>
          </w:tcPr>
          <w:p w:rsidR="00FC26BE" w:rsidRDefault="00FC26BE">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FC26BE" w:rsidRDefault="00FC26BE" w:rsidP="00FC26BE">
      <w:pPr>
        <w:spacing w:line="360" w:lineRule="auto"/>
        <w:jc w:val="both"/>
        <w:rPr>
          <w:rFonts w:ascii="Arial" w:hAnsi="Arial"/>
          <w:noProof w:val="0"/>
        </w:rPr>
      </w:pPr>
    </w:p>
    <w:p w:rsidR="00FC26BE" w:rsidRDefault="00FC26BE" w:rsidP="00FC26BE">
      <w:pPr>
        <w:spacing w:line="360" w:lineRule="auto"/>
        <w:jc w:val="both"/>
        <w:rPr>
          <w:rFonts w:ascii="David" w:hAnsi="David"/>
          <w:noProof w:val="0"/>
          <w:rtl/>
        </w:rPr>
      </w:pPr>
      <w:r>
        <w:rPr>
          <w:rFonts w:ascii="David" w:hAnsi="David"/>
          <w:rtl/>
        </w:rPr>
        <w:t xml:space="preserve">לפני שתי תביעות העוסקות ברכושם של הצדדים. האחת, </w:t>
      </w:r>
      <w:r>
        <w:rPr>
          <w:rFonts w:ascii="David" w:hAnsi="David"/>
          <w:u w:val="single"/>
          <w:rtl/>
        </w:rPr>
        <w:t xml:space="preserve">תלה"מ 38480-04-19 </w:t>
      </w:r>
      <w:r>
        <w:rPr>
          <w:rFonts w:ascii="David" w:hAnsi="David"/>
          <w:rtl/>
        </w:rPr>
        <w:t>הוגשה על ידי האישה וכותרתה "תביעה למתן סעד כספי ו בענייני רכוש, שמירת זכויות ונלווים" (להלן-</w:t>
      </w:r>
      <w:r>
        <w:rPr>
          <w:rFonts w:ascii="Miriam" w:hAnsi="Miriam" w:cs="Miriam"/>
          <w:b/>
          <w:bCs/>
          <w:rtl/>
        </w:rPr>
        <w:t>תביעת</w:t>
      </w:r>
      <w:r>
        <w:rPr>
          <w:rFonts w:ascii="David" w:hAnsi="David"/>
          <w:rtl/>
        </w:rPr>
        <w:t xml:space="preserve"> </w:t>
      </w:r>
      <w:r>
        <w:rPr>
          <w:rFonts w:ascii="Miriam" w:hAnsi="Miriam" w:cs="Miriam"/>
          <w:b/>
          <w:bCs/>
          <w:rtl/>
        </w:rPr>
        <w:t>האישה</w:t>
      </w:r>
      <w:r>
        <w:rPr>
          <w:rFonts w:ascii="David" w:hAnsi="David"/>
          <w:rtl/>
        </w:rPr>
        <w:t xml:space="preserve">). השנייה, </w:t>
      </w:r>
      <w:r>
        <w:rPr>
          <w:rFonts w:ascii="David" w:hAnsi="David"/>
          <w:u w:val="single"/>
          <w:rtl/>
        </w:rPr>
        <w:t xml:space="preserve">תלה"מ  61437-05-1 </w:t>
      </w:r>
      <w:r>
        <w:rPr>
          <w:rFonts w:ascii="David" w:hAnsi="David"/>
          <w:rtl/>
        </w:rPr>
        <w:t>הוגשה על ידי האיש וכותרתה "רכושית; איזון משאבים; פירוק שיתוף במקרקעין; דמי שימוש" (להלן-</w:t>
      </w:r>
      <w:r>
        <w:rPr>
          <w:rFonts w:ascii="Miriam" w:hAnsi="Miriam" w:cs="Miriam"/>
          <w:b/>
          <w:bCs/>
          <w:rtl/>
        </w:rPr>
        <w:t>תביעת האיש</w:t>
      </w:r>
      <w:r>
        <w:rPr>
          <w:rFonts w:ascii="David" w:hAnsi="David"/>
          <w:rtl/>
        </w:rPr>
        <w:t xml:space="preserve">).  </w:t>
      </w:r>
    </w:p>
    <w:p w:rsidR="00FC26BE" w:rsidRDefault="00FC26BE" w:rsidP="00FC26BE">
      <w:pPr>
        <w:spacing w:line="360" w:lineRule="auto"/>
        <w:jc w:val="both"/>
        <w:rPr>
          <w:rFonts w:ascii="David" w:hAnsi="David"/>
          <w:noProof w:val="0"/>
          <w:rtl/>
        </w:rPr>
      </w:pPr>
    </w:p>
    <w:p w:rsidR="00FC26BE" w:rsidRDefault="00FC26BE" w:rsidP="00FC26BE">
      <w:pPr>
        <w:spacing w:line="360" w:lineRule="auto"/>
        <w:jc w:val="both"/>
        <w:rPr>
          <w:rFonts w:ascii="David" w:hAnsi="David"/>
        </w:rPr>
      </w:pPr>
      <w:r>
        <w:rPr>
          <w:rFonts w:ascii="David" w:hAnsi="David"/>
          <w:rtl/>
        </w:rPr>
        <w:t xml:space="preserve">על אתר יאמר שעיקר טיעוני האישה בתביעתה הם תמונת מראה לטיעוניה בהגנתה בתביעת האיש והדבר נכון גם בהקשרו של האיש שעיקר טיעוני הגנתו בתביעת האישה הם תמונת מראה לכתב תביעתו.  </w:t>
      </w:r>
    </w:p>
    <w:p w:rsidR="00FC26BE" w:rsidRDefault="00FC26BE" w:rsidP="00FC26BE">
      <w:pPr>
        <w:spacing w:line="360" w:lineRule="auto"/>
        <w:jc w:val="both"/>
        <w:rPr>
          <w:rFonts w:ascii="David" w:hAnsi="David"/>
          <w:rtl/>
        </w:rPr>
      </w:pPr>
    </w:p>
    <w:p w:rsidR="00FC26BE" w:rsidRDefault="00FC26BE" w:rsidP="00FC26BE">
      <w:pPr>
        <w:spacing w:line="360" w:lineRule="auto"/>
        <w:jc w:val="both"/>
        <w:rPr>
          <w:rFonts w:ascii="David" w:hAnsi="David"/>
          <w:b/>
          <w:bCs/>
          <w:sz w:val="26"/>
          <w:szCs w:val="26"/>
          <w:rtl/>
        </w:rPr>
      </w:pPr>
      <w:r>
        <w:rPr>
          <w:rFonts w:ascii="David" w:hAnsi="David"/>
          <w:b/>
          <w:bCs/>
          <w:sz w:val="26"/>
          <w:szCs w:val="26"/>
          <w:u w:val="single"/>
          <w:rtl/>
        </w:rPr>
        <w:t>רקע עובדתי</w:t>
      </w:r>
      <w:r>
        <w:rPr>
          <w:rFonts w:ascii="David" w:hAnsi="David"/>
          <w:b/>
          <w:bCs/>
          <w:sz w:val="26"/>
          <w:szCs w:val="26"/>
          <w:rtl/>
        </w:rPr>
        <w:t>:</w:t>
      </w:r>
    </w:p>
    <w:p w:rsidR="00FC26BE" w:rsidRDefault="00FC26BE" w:rsidP="00FC26BE">
      <w:pPr>
        <w:spacing w:line="360" w:lineRule="auto"/>
        <w:jc w:val="both"/>
        <w:rPr>
          <w:rFonts w:ascii="David" w:hAnsi="David"/>
          <w:b/>
          <w:bCs/>
          <w:sz w:val="26"/>
          <w:szCs w:val="26"/>
          <w:rtl/>
        </w:rPr>
      </w:pPr>
    </w:p>
    <w:p w:rsidR="00FC26BE" w:rsidRDefault="00FC26BE" w:rsidP="00FC26BE">
      <w:pPr>
        <w:spacing w:line="360" w:lineRule="auto"/>
        <w:ind w:left="720" w:hanging="720"/>
        <w:jc w:val="both"/>
        <w:rPr>
          <w:rFonts w:ascii="David" w:hAnsi="David"/>
          <w:rtl/>
        </w:rPr>
      </w:pPr>
      <w:r>
        <w:rPr>
          <w:rFonts w:ascii="David" w:hAnsi="David"/>
          <w:rtl/>
        </w:rPr>
        <w:t>1.</w:t>
      </w:r>
      <w:r>
        <w:rPr>
          <w:rFonts w:ascii="David" w:hAnsi="David"/>
          <w:rtl/>
        </w:rPr>
        <w:tab/>
        <w:t xml:space="preserve">האיש והאישה (להלן- </w:t>
      </w:r>
      <w:r>
        <w:rPr>
          <w:rFonts w:ascii="Miriam" w:hAnsi="Miriam" w:cs="Miriam"/>
          <w:b/>
          <w:bCs/>
          <w:rtl/>
        </w:rPr>
        <w:t>הצדדים</w:t>
      </w:r>
      <w:r>
        <w:rPr>
          <w:rFonts w:ascii="David" w:hAnsi="David"/>
          <w:rtl/>
        </w:rPr>
        <w:t>) הם בני זוג שנישאו כדמו"י ביום 17/10/2013 ולהם 3 ילדים משותפים.</w:t>
      </w:r>
    </w:p>
    <w:p w:rsidR="00FC26BE" w:rsidRDefault="00FC26BE" w:rsidP="00FC26BE">
      <w:pPr>
        <w:ind w:left="720" w:hanging="720"/>
        <w:rPr>
          <w:rtl/>
        </w:rPr>
      </w:pPr>
    </w:p>
    <w:p w:rsidR="00FC26BE" w:rsidRDefault="00FC26BE" w:rsidP="00351CAC">
      <w:pPr>
        <w:spacing w:line="360" w:lineRule="auto"/>
        <w:ind w:left="720" w:hanging="720"/>
        <w:jc w:val="both"/>
        <w:rPr>
          <w:rFonts w:ascii="David" w:hAnsi="David"/>
        </w:rPr>
      </w:pPr>
      <w:r>
        <w:rPr>
          <w:rFonts w:ascii="David" w:hAnsi="David"/>
          <w:rtl/>
        </w:rPr>
        <w:tab/>
        <w:t>האישה היא אלמנת</w:t>
      </w:r>
      <w:r w:rsidR="00351CAC">
        <w:rPr>
          <w:rFonts w:ascii="David" w:hAnsi="David" w:hint="cs"/>
          <w:rtl/>
        </w:rPr>
        <w:t xml:space="preserve"> </w:t>
      </w:r>
      <w:r>
        <w:rPr>
          <w:rFonts w:ascii="David" w:hAnsi="David"/>
          <w:rtl/>
        </w:rPr>
        <w:t xml:space="preserve"> </w:t>
      </w:r>
      <w:r w:rsidR="00351CAC">
        <w:rPr>
          <w:rFonts w:ascii="David" w:hAnsi="David" w:hint="cs"/>
        </w:rPr>
        <w:t>XXXXX</w:t>
      </w:r>
      <w:r>
        <w:rPr>
          <w:rFonts w:ascii="David" w:hAnsi="David"/>
          <w:rtl/>
        </w:rPr>
        <w:t xml:space="preserve"> בשנת 2007.</w:t>
      </w:r>
    </w:p>
    <w:p w:rsidR="00FC26BE" w:rsidRDefault="00FC26BE" w:rsidP="00FC26BE">
      <w:pPr>
        <w:spacing w:line="360" w:lineRule="auto"/>
        <w:ind w:left="720" w:hanging="720"/>
        <w:jc w:val="both"/>
        <w:rPr>
          <w:rFonts w:ascii="David" w:hAnsi="David"/>
          <w:rtl/>
        </w:rPr>
      </w:pPr>
    </w:p>
    <w:p w:rsidR="00FC26BE" w:rsidRDefault="00FC26BE" w:rsidP="00FC26BE">
      <w:pPr>
        <w:spacing w:line="360" w:lineRule="auto"/>
        <w:ind w:left="720" w:hanging="720"/>
        <w:jc w:val="both"/>
        <w:rPr>
          <w:rFonts w:ascii="David" w:hAnsi="David"/>
          <w:rtl/>
        </w:rPr>
      </w:pPr>
      <w:r>
        <w:rPr>
          <w:rFonts w:ascii="David" w:hAnsi="David"/>
          <w:rtl/>
        </w:rPr>
        <w:tab/>
        <w:t xml:space="preserve">לשני הצדדים אלו נישואיהם השניים. לאישה בן מנישואיה הקודמים כבן 13 לעת הגשת תביעת האישה ולאיש בת כבת 16 לאותו מועד כאמור מנישואיו הקודמים. </w:t>
      </w:r>
    </w:p>
    <w:p w:rsidR="00FC26BE" w:rsidRDefault="00FC26BE" w:rsidP="00FC26BE">
      <w:pPr>
        <w:spacing w:line="360" w:lineRule="auto"/>
        <w:ind w:left="720" w:hanging="720"/>
        <w:jc w:val="both"/>
        <w:rPr>
          <w:rFonts w:ascii="David" w:hAnsi="David"/>
          <w:rtl/>
        </w:rPr>
      </w:pPr>
    </w:p>
    <w:p w:rsidR="00FC26BE" w:rsidRDefault="00FC26BE" w:rsidP="00FC26BE">
      <w:pPr>
        <w:spacing w:line="360" w:lineRule="auto"/>
        <w:ind w:left="720" w:hanging="720"/>
        <w:jc w:val="both"/>
        <w:rPr>
          <w:rFonts w:ascii="David" w:hAnsi="David"/>
          <w:rtl/>
        </w:rPr>
      </w:pPr>
      <w:r>
        <w:rPr>
          <w:rFonts w:ascii="David" w:hAnsi="David"/>
          <w:rtl/>
        </w:rPr>
        <w:tab/>
        <w:t>טרם נישואי הצדדים, ובהמלצת רב, חתמו הם על הסכם ממון שקיבל תוקף של פסק דין ביום 15/10/2013 (להלן-</w:t>
      </w:r>
      <w:r>
        <w:rPr>
          <w:rFonts w:ascii="Miriam" w:hAnsi="Miriam" w:cs="Miriam"/>
          <w:b/>
          <w:bCs/>
          <w:rtl/>
        </w:rPr>
        <w:t>הסכם הממון</w:t>
      </w:r>
      <w:r>
        <w:rPr>
          <w:rFonts w:ascii="David" w:hAnsi="David"/>
          <w:rtl/>
        </w:rPr>
        <w:t>). זה המקום להקדים ולהדגיש שהסכם הממון דן בדירה אחרת של האישה שאינה מעניינו של פסק דין זה. באותה תקופה "...</w:t>
      </w:r>
      <w:r>
        <w:rPr>
          <w:rFonts w:ascii="David" w:hAnsi="David"/>
          <w:b/>
          <w:bCs/>
          <w:rtl/>
        </w:rPr>
        <w:t>קיבלה כמו גם הייתה אמורה לקבל כספי פיצויים נוספים לה ולקטין נ. (כיום בן 13 שנה) והכל מתביעה שהוגשה כבר בשנת 2007 ולכן היה חשוב לה לעגן זכויותיה וזכויות בנה היתום נ.</w:t>
      </w:r>
      <w:r>
        <w:rPr>
          <w:rFonts w:ascii="David" w:hAnsi="David"/>
          <w:rtl/>
        </w:rPr>
        <w:t>" (ס' 33 לתביעת האישה).</w:t>
      </w:r>
    </w:p>
    <w:p w:rsidR="00FC26BE" w:rsidRDefault="00FC26BE" w:rsidP="00FC26BE">
      <w:pPr>
        <w:spacing w:line="360" w:lineRule="auto"/>
        <w:ind w:left="720"/>
        <w:jc w:val="both"/>
        <w:rPr>
          <w:rFonts w:ascii="David" w:hAnsi="David"/>
          <w:rtl/>
        </w:rPr>
      </w:pPr>
      <w:r>
        <w:rPr>
          <w:rFonts w:ascii="David" w:hAnsi="David"/>
          <w:rtl/>
        </w:rPr>
        <w:t xml:space="preserve">על יסוד הסכמת הצדדים מועד הקרע נקבע ליום 31/03/2018 (החלטה מיום  4/12/2019 ). </w:t>
      </w:r>
    </w:p>
    <w:p w:rsidR="00FC26BE" w:rsidRDefault="00FC26BE" w:rsidP="00FC26BE">
      <w:pPr>
        <w:spacing w:line="360" w:lineRule="auto"/>
        <w:ind w:left="720"/>
        <w:jc w:val="both"/>
        <w:rPr>
          <w:rFonts w:ascii="David" w:hAnsi="David"/>
          <w:rtl/>
        </w:rPr>
      </w:pPr>
    </w:p>
    <w:p w:rsidR="00FC26BE" w:rsidRDefault="00FC26BE" w:rsidP="00FC26BE">
      <w:pPr>
        <w:spacing w:line="360" w:lineRule="auto"/>
        <w:ind w:left="720"/>
        <w:jc w:val="both"/>
        <w:rPr>
          <w:rFonts w:ascii="David" w:hAnsi="David"/>
        </w:rPr>
      </w:pPr>
      <w:r>
        <w:rPr>
          <w:rFonts w:ascii="David" w:hAnsi="David"/>
          <w:rtl/>
        </w:rPr>
        <w:t>בכתבי הטענות גוללו  הצדדים את מערכת היחסים הבין אישית ביניהם והסיבות למשבר שפקד אותם איש איש על פי ראייתו ולא מצאתי להרחיב בנושא זה מעבר לנדרש לטובת ההכרעה בשאלות שלפני.</w:t>
      </w:r>
    </w:p>
    <w:p w:rsidR="00FC26BE" w:rsidRDefault="00FC26BE" w:rsidP="00FC26BE">
      <w:pPr>
        <w:spacing w:line="360" w:lineRule="auto"/>
        <w:ind w:left="720"/>
        <w:jc w:val="both"/>
        <w:rPr>
          <w:rFonts w:ascii="David" w:hAnsi="David"/>
          <w:rtl/>
        </w:rPr>
      </w:pPr>
    </w:p>
    <w:p w:rsidR="00FC26BE" w:rsidRDefault="00FC26BE" w:rsidP="00FC26BE">
      <w:pPr>
        <w:spacing w:line="360" w:lineRule="auto"/>
        <w:ind w:firstLine="84"/>
        <w:jc w:val="both"/>
        <w:rPr>
          <w:rFonts w:ascii="David" w:hAnsi="David"/>
        </w:rPr>
      </w:pPr>
      <w:r>
        <w:rPr>
          <w:rFonts w:ascii="David" w:hAnsi="David"/>
          <w:rtl/>
        </w:rPr>
        <w:t>2.</w:t>
      </w:r>
      <w:r>
        <w:rPr>
          <w:rFonts w:ascii="David" w:hAnsi="David"/>
          <w:rtl/>
        </w:rPr>
        <w:tab/>
        <w:t>למועד הקרע בבעלות הצדדים היו הנכסים הבאים:</w:t>
      </w:r>
    </w:p>
    <w:p w:rsidR="00FC26BE" w:rsidRDefault="00FC26BE" w:rsidP="00FC26BE">
      <w:pPr>
        <w:spacing w:line="360" w:lineRule="auto"/>
        <w:ind w:firstLine="84"/>
        <w:jc w:val="both"/>
        <w:rPr>
          <w:rFonts w:ascii="David" w:hAnsi="David"/>
          <w:rtl/>
        </w:rPr>
      </w:pPr>
    </w:p>
    <w:p w:rsidR="00FC26BE" w:rsidRDefault="00FC26BE" w:rsidP="00351CAC">
      <w:pPr>
        <w:spacing w:line="360" w:lineRule="auto"/>
        <w:ind w:left="1440" w:hanging="720"/>
        <w:jc w:val="both"/>
        <w:rPr>
          <w:rFonts w:ascii="David" w:hAnsi="David"/>
        </w:rPr>
      </w:pPr>
      <w:r>
        <w:rPr>
          <w:rFonts w:ascii="David" w:hAnsi="David"/>
          <w:rtl/>
        </w:rPr>
        <w:t>א.</w:t>
      </w:r>
      <w:r>
        <w:rPr>
          <w:rFonts w:ascii="David" w:hAnsi="David"/>
          <w:rtl/>
        </w:rPr>
        <w:tab/>
        <w:t xml:space="preserve">דירה ברחוב </w:t>
      </w:r>
      <w:r w:rsidR="00351CAC">
        <w:rPr>
          <w:rFonts w:ascii="David" w:hAnsi="David" w:hint="cs"/>
        </w:rPr>
        <w:t>XXX</w:t>
      </w:r>
      <w:r>
        <w:rPr>
          <w:rFonts w:ascii="David" w:hAnsi="David"/>
          <w:rtl/>
        </w:rPr>
        <w:t xml:space="preserve"> הידועה גם כחלקה </w:t>
      </w:r>
      <w:r w:rsidR="00351CAC">
        <w:rPr>
          <w:rFonts w:ascii="David" w:hAnsi="David" w:hint="cs"/>
        </w:rPr>
        <w:t>XX</w:t>
      </w:r>
      <w:r>
        <w:rPr>
          <w:rFonts w:ascii="David" w:hAnsi="David"/>
          <w:rtl/>
        </w:rPr>
        <w:t xml:space="preserve"> גוש </w:t>
      </w:r>
      <w:r w:rsidR="00351CAC">
        <w:rPr>
          <w:rFonts w:ascii="David" w:hAnsi="David" w:hint="cs"/>
        </w:rPr>
        <w:t>XXX</w:t>
      </w:r>
      <w:r>
        <w:rPr>
          <w:rFonts w:ascii="David" w:hAnsi="David"/>
          <w:rtl/>
        </w:rPr>
        <w:t xml:space="preserve"> באילת הרשומה על שני הצדדים בחלקים שווים (להלן- </w:t>
      </w:r>
      <w:r>
        <w:rPr>
          <w:rFonts w:ascii="Miriam" w:hAnsi="Miriam" w:cs="Miriam"/>
          <w:b/>
          <w:bCs/>
          <w:rtl/>
        </w:rPr>
        <w:t>הדירה</w:t>
      </w:r>
      <w:r>
        <w:rPr>
          <w:rFonts w:ascii="David" w:hAnsi="David"/>
          <w:rtl/>
        </w:rPr>
        <w:t xml:space="preserve">). הדירה נרכשה ביום 31/10/2016   ונרשמה בחלקים שווים על שם הצדדים. </w:t>
      </w:r>
    </w:p>
    <w:p w:rsidR="00FC26BE" w:rsidRDefault="00FC26BE" w:rsidP="00FC26BE">
      <w:pPr>
        <w:ind w:left="1440" w:hanging="720"/>
        <w:rPr>
          <w:rtl/>
        </w:rPr>
      </w:pPr>
    </w:p>
    <w:p w:rsidR="00FC26BE" w:rsidRDefault="00FC26BE" w:rsidP="00351CAC">
      <w:pPr>
        <w:spacing w:line="360" w:lineRule="auto"/>
        <w:ind w:firstLine="720"/>
        <w:jc w:val="both"/>
        <w:rPr>
          <w:rFonts w:ascii="David" w:hAnsi="David"/>
          <w:rtl/>
        </w:rPr>
      </w:pPr>
      <w:r>
        <w:rPr>
          <w:rFonts w:ascii="David" w:hAnsi="David"/>
          <w:rtl/>
        </w:rPr>
        <w:t>ב.</w:t>
      </w:r>
      <w:r>
        <w:rPr>
          <w:rFonts w:ascii="David" w:hAnsi="David"/>
          <w:rtl/>
        </w:rPr>
        <w:tab/>
        <w:t xml:space="preserve">בחזקת האיש רכב מסוג איסוזו </w:t>
      </w:r>
      <w:r w:rsidR="00351CAC">
        <w:rPr>
          <w:rFonts w:ascii="David" w:hAnsi="David" w:hint="cs"/>
        </w:rPr>
        <w:t>XXX</w:t>
      </w:r>
      <w:r>
        <w:rPr>
          <w:rFonts w:ascii="David" w:hAnsi="David"/>
          <w:rtl/>
        </w:rPr>
        <w:t xml:space="preserve"> מ.ר </w:t>
      </w:r>
      <w:r w:rsidR="00351CAC">
        <w:rPr>
          <w:rFonts w:ascii="David" w:hAnsi="David" w:hint="cs"/>
        </w:rPr>
        <w:t>XXX</w:t>
      </w:r>
      <w:r>
        <w:rPr>
          <w:rFonts w:ascii="David" w:hAnsi="David"/>
          <w:rtl/>
        </w:rPr>
        <w:t xml:space="preserve"> הרשום בבעלות האישה.</w:t>
      </w:r>
    </w:p>
    <w:p w:rsidR="00FC26BE" w:rsidRDefault="00FC26BE" w:rsidP="00FC26BE">
      <w:pPr>
        <w:spacing w:line="360" w:lineRule="auto"/>
        <w:ind w:firstLine="720"/>
        <w:jc w:val="both"/>
        <w:rPr>
          <w:rFonts w:ascii="David" w:hAnsi="David"/>
          <w:rtl/>
        </w:rPr>
      </w:pPr>
    </w:p>
    <w:p w:rsidR="00FC26BE" w:rsidRDefault="00FC26BE" w:rsidP="00FC26BE">
      <w:pPr>
        <w:spacing w:line="360" w:lineRule="auto"/>
        <w:ind w:firstLine="720"/>
        <w:jc w:val="both"/>
        <w:rPr>
          <w:rFonts w:ascii="David" w:hAnsi="David"/>
        </w:rPr>
      </w:pPr>
      <w:r>
        <w:rPr>
          <w:rFonts w:ascii="David" w:hAnsi="David"/>
          <w:rtl/>
        </w:rPr>
        <w:t>ג.</w:t>
      </w:r>
      <w:r>
        <w:rPr>
          <w:rFonts w:ascii="David" w:hAnsi="David"/>
          <w:rtl/>
        </w:rPr>
        <w:tab/>
        <w:t>בחזקת האישה רכב מסוג שברולט טרוורס הרשום בבעלותה.</w:t>
      </w:r>
    </w:p>
    <w:p w:rsidR="00FC26BE" w:rsidRDefault="00FC26BE" w:rsidP="00FC26BE">
      <w:pPr>
        <w:spacing w:line="360" w:lineRule="auto"/>
        <w:ind w:firstLine="720"/>
        <w:jc w:val="both"/>
        <w:rPr>
          <w:rFonts w:ascii="David" w:hAnsi="David"/>
          <w:rtl/>
        </w:rPr>
      </w:pPr>
    </w:p>
    <w:p w:rsidR="00FC26BE" w:rsidRDefault="00FC26BE" w:rsidP="00FC26BE">
      <w:pPr>
        <w:spacing w:line="360" w:lineRule="auto"/>
        <w:ind w:left="1440" w:hanging="720"/>
        <w:jc w:val="both"/>
        <w:rPr>
          <w:rFonts w:ascii="David" w:hAnsi="David"/>
        </w:rPr>
      </w:pPr>
      <w:r>
        <w:rPr>
          <w:rFonts w:ascii="David" w:hAnsi="David"/>
          <w:rtl/>
        </w:rPr>
        <w:t>ד.</w:t>
      </w:r>
      <w:r>
        <w:rPr>
          <w:rFonts w:ascii="David" w:hAnsi="David"/>
          <w:rtl/>
        </w:rPr>
        <w:tab/>
        <w:t xml:space="preserve">לצדדים חשבון בנק משותף בבנק דיסקונט וכן לכל אחד מהצדדים חשבונות חשבון.ות נפרד.ים. </w:t>
      </w:r>
    </w:p>
    <w:p w:rsidR="00FC26BE" w:rsidRDefault="00FC26BE" w:rsidP="00FC26BE">
      <w:pPr>
        <w:spacing w:line="360" w:lineRule="auto"/>
        <w:ind w:left="1440" w:hanging="720"/>
        <w:jc w:val="both"/>
        <w:rPr>
          <w:rFonts w:ascii="David" w:hAnsi="David"/>
          <w:rtl/>
        </w:rPr>
      </w:pPr>
    </w:p>
    <w:p w:rsidR="00FC26BE" w:rsidRDefault="00FC26BE" w:rsidP="00351CAC">
      <w:pPr>
        <w:spacing w:line="360" w:lineRule="auto"/>
        <w:ind w:left="84"/>
        <w:jc w:val="both"/>
        <w:rPr>
          <w:rFonts w:ascii="David" w:hAnsi="David"/>
        </w:rPr>
      </w:pPr>
      <w:r>
        <w:rPr>
          <w:rFonts w:ascii="David" w:hAnsi="David"/>
          <w:rtl/>
        </w:rPr>
        <w:t>3.</w:t>
      </w:r>
      <w:r>
        <w:rPr>
          <w:rFonts w:ascii="David" w:hAnsi="David"/>
          <w:rtl/>
        </w:rPr>
        <w:tab/>
        <w:t xml:space="preserve">האישה עובדת כשכירה והאיש מנהל עסק עצמאי בתחום </w:t>
      </w:r>
      <w:r w:rsidR="00351CAC">
        <w:rPr>
          <w:rFonts w:ascii="David" w:hAnsi="David" w:hint="cs"/>
        </w:rPr>
        <w:t>XXX</w:t>
      </w:r>
      <w:r>
        <w:rPr>
          <w:rFonts w:ascii="David" w:hAnsi="David"/>
          <w:rtl/>
        </w:rPr>
        <w:t xml:space="preserve"> . </w:t>
      </w:r>
    </w:p>
    <w:p w:rsidR="00FC26BE" w:rsidRDefault="00FC26BE" w:rsidP="00FC26BE">
      <w:pPr>
        <w:spacing w:line="360" w:lineRule="auto"/>
        <w:ind w:left="84"/>
        <w:jc w:val="both"/>
        <w:rPr>
          <w:rFonts w:ascii="David" w:hAnsi="David"/>
          <w:b/>
          <w:bCs/>
          <w:u w:val="single"/>
        </w:rPr>
      </w:pPr>
    </w:p>
    <w:p w:rsidR="00FC26BE" w:rsidRDefault="00FC26BE" w:rsidP="00FC26BE">
      <w:pPr>
        <w:spacing w:line="360" w:lineRule="auto"/>
        <w:jc w:val="both"/>
        <w:rPr>
          <w:rFonts w:ascii="David" w:hAnsi="David"/>
          <w:b/>
          <w:bCs/>
          <w:sz w:val="26"/>
          <w:szCs w:val="26"/>
          <w:rtl/>
        </w:rPr>
      </w:pPr>
      <w:r>
        <w:rPr>
          <w:rFonts w:ascii="David" w:hAnsi="David"/>
          <w:b/>
          <w:bCs/>
          <w:sz w:val="26"/>
          <w:szCs w:val="26"/>
          <w:u w:val="single"/>
          <w:rtl/>
        </w:rPr>
        <w:t>עיקר טענות האישה</w:t>
      </w:r>
      <w:r>
        <w:rPr>
          <w:rFonts w:ascii="David" w:hAnsi="David"/>
          <w:b/>
          <w:bCs/>
          <w:sz w:val="26"/>
          <w:szCs w:val="26"/>
          <w:rtl/>
        </w:rPr>
        <w:t>:</w:t>
      </w:r>
    </w:p>
    <w:p w:rsidR="00FC26BE" w:rsidRDefault="00FC26BE" w:rsidP="00FC26BE">
      <w:pPr>
        <w:spacing w:line="360" w:lineRule="auto"/>
        <w:jc w:val="both"/>
        <w:rPr>
          <w:rFonts w:ascii="David" w:hAnsi="David"/>
          <w:b/>
          <w:bCs/>
          <w:sz w:val="26"/>
          <w:szCs w:val="26"/>
          <w:rtl/>
        </w:rPr>
      </w:pPr>
    </w:p>
    <w:p w:rsidR="00FC26BE" w:rsidRDefault="00FC26BE" w:rsidP="00FC26BE">
      <w:pPr>
        <w:spacing w:line="360" w:lineRule="auto"/>
        <w:ind w:left="720" w:hanging="720"/>
        <w:jc w:val="both"/>
        <w:rPr>
          <w:rFonts w:ascii="David" w:hAnsi="David"/>
          <w:rtl/>
        </w:rPr>
      </w:pPr>
      <w:r>
        <w:rPr>
          <w:rFonts w:ascii="David" w:hAnsi="David"/>
          <w:rtl/>
        </w:rPr>
        <w:t>4.</w:t>
      </w:r>
      <w:r>
        <w:rPr>
          <w:rFonts w:ascii="David" w:hAnsi="David"/>
          <w:rtl/>
        </w:rPr>
        <w:tab/>
        <w:t xml:space="preserve">האישה עתרה למתן פסק דין הצהרתי שייקבע שהדירה היא בבעלותה בלבד. נימוקה לעתירתה זו היא שהדירה נרכשה מכספה, היא שילמה הן את ההון העצמי והן את המשכנתא שנלקחה והיא זו שמשלמת את דמי המשכנתא החודשיים. </w:t>
      </w:r>
    </w:p>
    <w:p w:rsidR="00FC26BE" w:rsidRDefault="00FC26BE" w:rsidP="00FC26BE">
      <w:pPr>
        <w:spacing w:line="360" w:lineRule="auto"/>
        <w:ind w:left="720" w:hanging="720"/>
        <w:jc w:val="both"/>
        <w:rPr>
          <w:rFonts w:ascii="David" w:hAnsi="David"/>
          <w:rtl/>
        </w:rPr>
      </w:pPr>
    </w:p>
    <w:p w:rsidR="00FC26BE" w:rsidRDefault="00FC26BE" w:rsidP="00FC26BE">
      <w:pPr>
        <w:spacing w:line="360" w:lineRule="auto"/>
        <w:ind w:left="720"/>
        <w:jc w:val="both"/>
        <w:rPr>
          <w:rFonts w:ascii="David" w:hAnsi="David"/>
          <w:rtl/>
        </w:rPr>
      </w:pPr>
      <w:r>
        <w:rPr>
          <w:rFonts w:ascii="David" w:hAnsi="David"/>
          <w:rtl/>
        </w:rPr>
        <w:lastRenderedPageBreak/>
        <w:t>לטענתה כבר בסמוך לנישואיהם פרץ משבר בחייה עם האיש, הוגשו תביעות  הדדיות "...</w:t>
      </w:r>
      <w:r>
        <w:rPr>
          <w:rFonts w:ascii="David" w:hAnsi="David"/>
          <w:b/>
          <w:bCs/>
          <w:rtl/>
        </w:rPr>
        <w:t>ומכוון שבני הזוג שומרי מצוות  הם, החלו שוב להתערב ביחסים ביניהם גורמי דת שונים במטרה להשכין שלום בית ולהשיב החיים למסלולם</w:t>
      </w:r>
      <w:r>
        <w:rPr>
          <w:rFonts w:ascii="David" w:hAnsi="David"/>
          <w:rtl/>
        </w:rPr>
        <w:t>. ...</w:t>
      </w:r>
      <w:r>
        <w:rPr>
          <w:rFonts w:ascii="David" w:hAnsi="David"/>
          <w:b/>
          <w:bCs/>
          <w:rtl/>
        </w:rPr>
        <w:t>החליטו בני הזוג לסגת  מהתביעות ההדדיות שהוגשו  בזמנו בערכאות השונות לנסות לחיות יחד ולשקם הנישואים</w:t>
      </w:r>
      <w:r>
        <w:rPr>
          <w:rFonts w:ascii="David" w:hAnsi="David"/>
          <w:rtl/>
        </w:rPr>
        <w:t>. ...</w:t>
      </w:r>
      <w:r>
        <w:rPr>
          <w:rFonts w:ascii="David" w:hAnsi="David"/>
          <w:b/>
          <w:bCs/>
          <w:rtl/>
        </w:rPr>
        <w:t>התובעת ממש קיוותה כי השיקום יצליח שכן אהבה את  הנתבע מאוד</w:t>
      </w:r>
      <w:r>
        <w:rPr>
          <w:rFonts w:ascii="David" w:hAnsi="David"/>
          <w:rtl/>
        </w:rPr>
        <w:t>..." (ס' 43-41 לתביעת האישה). אחת ההמלצות של גורמי הדת שהחלו "...</w:t>
      </w:r>
      <w:r>
        <w:rPr>
          <w:rFonts w:ascii="David" w:hAnsi="David"/>
          <w:b/>
          <w:bCs/>
          <w:rtl/>
        </w:rPr>
        <w:t>להתערב שוב בעניינם</w:t>
      </w:r>
      <w:r>
        <w:rPr>
          <w:rFonts w:ascii="David" w:hAnsi="David"/>
          <w:rtl/>
        </w:rPr>
        <w:t>..." שהדירה תירשם על שם שני הצדדים "...</w:t>
      </w:r>
      <w:r>
        <w:rPr>
          <w:rFonts w:ascii="David" w:hAnsi="David"/>
          <w:b/>
          <w:bCs/>
          <w:rtl/>
        </w:rPr>
        <w:t>על מנת לחזק היחסים ביניהם ולגלות אמון אחד בשני</w:t>
      </w:r>
      <w:r>
        <w:rPr>
          <w:rFonts w:ascii="David" w:hAnsi="David"/>
          <w:rtl/>
        </w:rPr>
        <w:t xml:space="preserve">" (ס' 46 לתביעת האישה) . </w:t>
      </w:r>
    </w:p>
    <w:p w:rsidR="00FC26BE" w:rsidRDefault="00FC26BE" w:rsidP="00FC26BE">
      <w:pPr>
        <w:spacing w:line="360" w:lineRule="auto"/>
        <w:ind w:left="720"/>
        <w:jc w:val="both"/>
        <w:rPr>
          <w:rFonts w:ascii="David" w:hAnsi="David"/>
          <w:rtl/>
        </w:rPr>
      </w:pPr>
    </w:p>
    <w:p w:rsidR="00FC26BE" w:rsidRDefault="00FC26BE" w:rsidP="00FC26BE">
      <w:pPr>
        <w:spacing w:line="360" w:lineRule="auto"/>
        <w:ind w:left="720"/>
        <w:jc w:val="both"/>
        <w:rPr>
          <w:rFonts w:ascii="David" w:hAnsi="David"/>
          <w:rtl/>
        </w:rPr>
      </w:pPr>
      <w:r>
        <w:rPr>
          <w:rFonts w:ascii="David" w:hAnsi="David"/>
          <w:rtl/>
        </w:rPr>
        <w:t xml:space="preserve">על כן רישומו של האיש כבעלים משותף בדירה נעשה רק בסמוך להשלמת הליך הרכישה. </w:t>
      </w:r>
    </w:p>
    <w:p w:rsidR="00FC26BE" w:rsidRDefault="00FC26BE" w:rsidP="00FC26BE">
      <w:pPr>
        <w:spacing w:line="360" w:lineRule="auto"/>
        <w:ind w:left="720"/>
        <w:jc w:val="both"/>
        <w:rPr>
          <w:rFonts w:ascii="David" w:hAnsi="David"/>
          <w:rtl/>
        </w:rPr>
      </w:pPr>
    </w:p>
    <w:p w:rsidR="00FC26BE" w:rsidRDefault="00FC26BE" w:rsidP="00351CAC">
      <w:pPr>
        <w:spacing w:line="360" w:lineRule="auto"/>
        <w:ind w:left="720"/>
        <w:jc w:val="both"/>
        <w:rPr>
          <w:rFonts w:ascii="David" w:hAnsi="David"/>
          <w:rtl/>
        </w:rPr>
      </w:pPr>
      <w:r>
        <w:rPr>
          <w:rFonts w:ascii="David" w:hAnsi="David"/>
          <w:rtl/>
        </w:rPr>
        <w:t xml:space="preserve">ההון העצמי בסך 840,000 ₪ ששימש לרכישת הדירה מקורו בכספי הפיצויים שקיבלה בעקבות </w:t>
      </w:r>
      <w:r w:rsidR="00351CAC">
        <w:rPr>
          <w:rFonts w:ascii="David" w:hAnsi="David" w:hint="cs"/>
        </w:rPr>
        <w:t>XXX</w:t>
      </w:r>
      <w:r>
        <w:rPr>
          <w:rFonts w:ascii="David" w:hAnsi="David"/>
          <w:rtl/>
        </w:rPr>
        <w:t xml:space="preserve"> של בעלה  הקודם ז"ל ונטילת משכנתא אשר שולמה ומשולמת כולה מידי חודש מחשבונה האישי. </w:t>
      </w:r>
    </w:p>
    <w:p w:rsidR="00FC26BE" w:rsidRDefault="00FC26BE" w:rsidP="00FC26BE">
      <w:pPr>
        <w:spacing w:line="360" w:lineRule="auto"/>
        <w:ind w:left="720"/>
        <w:jc w:val="both"/>
        <w:rPr>
          <w:rFonts w:ascii="David" w:hAnsi="David"/>
          <w:rtl/>
        </w:rPr>
      </w:pPr>
    </w:p>
    <w:p w:rsidR="00FC26BE" w:rsidRDefault="00FC26BE" w:rsidP="00FC26BE">
      <w:pPr>
        <w:spacing w:line="360" w:lineRule="auto"/>
        <w:ind w:left="720"/>
        <w:jc w:val="both"/>
        <w:rPr>
          <w:rFonts w:ascii="David" w:hAnsi="David"/>
          <w:rtl/>
        </w:rPr>
      </w:pPr>
      <w:r>
        <w:rPr>
          <w:rFonts w:ascii="David" w:hAnsi="David"/>
          <w:rtl/>
        </w:rPr>
        <w:t>האיש מודע לכך שהדירה היא רק שלה "...</w:t>
      </w:r>
      <w:r>
        <w:rPr>
          <w:rFonts w:ascii="David" w:hAnsi="David"/>
          <w:b/>
          <w:bCs/>
          <w:rtl/>
        </w:rPr>
        <w:t>הוא אף לכל אורך הדרך טען בפני כולם כי הכספים לרכישת הדירה לא שייכים לו שכן הם מהכספים שקיבלה התובעת פיצויים עקב מות בעלה מ. ז"ל והוא לא יעשה לעולם גזל אף אם הדירה נרשמה במחצית על שמו הדירה כולה שייכת לתובעת ולבנה נ</w:t>
      </w:r>
      <w:r>
        <w:rPr>
          <w:rFonts w:ascii="David" w:hAnsi="David"/>
          <w:rtl/>
        </w:rPr>
        <w:t>. ..." כך אף הצהיר כך בפני העו"ס (סעיף 47 לתביעת האישה).</w:t>
      </w:r>
    </w:p>
    <w:p w:rsidR="00FC26BE" w:rsidRDefault="00FC26BE" w:rsidP="00FC26BE">
      <w:pPr>
        <w:spacing w:line="360" w:lineRule="auto"/>
        <w:ind w:left="720"/>
        <w:jc w:val="both"/>
        <w:rPr>
          <w:rFonts w:ascii="David" w:hAnsi="David"/>
          <w:rtl/>
        </w:rPr>
      </w:pPr>
    </w:p>
    <w:p w:rsidR="00FC26BE" w:rsidRDefault="00FC26BE" w:rsidP="00FC26BE">
      <w:pPr>
        <w:spacing w:line="360" w:lineRule="auto"/>
        <w:ind w:left="720"/>
        <w:jc w:val="both"/>
        <w:rPr>
          <w:rFonts w:ascii="David" w:hAnsi="David"/>
          <w:rtl/>
        </w:rPr>
      </w:pPr>
      <w:r>
        <w:rPr>
          <w:rFonts w:ascii="David" w:hAnsi="David"/>
          <w:rtl/>
        </w:rPr>
        <w:t xml:space="preserve"> הגם שלבקשת הבנק למשכנתאות לצורך נטילת המשכנתא פתחו הצדדים חשבון משותף בפועל תשלומי המשכנתא שולמו אך ורק מחשבונה האישי משום שהאיש אמר לה שאם הדירה שלה שהיא תשלם את כל תשלומי המשכנתא לבד (סעיף 49 לתביעת האישה).</w:t>
      </w:r>
    </w:p>
    <w:p w:rsidR="00FC26BE" w:rsidRDefault="00FC26BE" w:rsidP="00FC26BE">
      <w:pPr>
        <w:spacing w:line="360" w:lineRule="auto"/>
        <w:ind w:left="720"/>
        <w:jc w:val="both"/>
        <w:rPr>
          <w:rFonts w:ascii="David" w:hAnsi="David"/>
          <w:rtl/>
        </w:rPr>
      </w:pPr>
    </w:p>
    <w:p w:rsidR="00FC26BE" w:rsidRDefault="00FC26BE" w:rsidP="00FC26BE">
      <w:pPr>
        <w:spacing w:line="360" w:lineRule="auto"/>
        <w:ind w:left="720" w:hanging="636"/>
        <w:jc w:val="both"/>
        <w:rPr>
          <w:rFonts w:ascii="David" w:hAnsi="David"/>
          <w:rtl/>
        </w:rPr>
      </w:pPr>
      <w:r>
        <w:rPr>
          <w:rFonts w:ascii="David" w:hAnsi="David"/>
          <w:rtl/>
        </w:rPr>
        <w:t>5.</w:t>
      </w:r>
      <w:r>
        <w:rPr>
          <w:rFonts w:ascii="David" w:hAnsi="David"/>
          <w:rtl/>
        </w:rPr>
        <w:tab/>
        <w:t>עוד טענה שבמהלך חייהם המשותפים של הצדדים היא הוציאה כספים רבים לטובת שיקום היחסים (נסיעות משותפות לחופשות, נסיעת האיש לאומן, "...</w:t>
      </w:r>
      <w:r>
        <w:rPr>
          <w:rFonts w:ascii="David" w:hAnsi="David"/>
          <w:b/>
          <w:bCs/>
          <w:rtl/>
        </w:rPr>
        <w:t>ועוד ועוד</w:t>
      </w:r>
      <w:r>
        <w:rPr>
          <w:rFonts w:ascii="David" w:hAnsi="David"/>
          <w:rtl/>
        </w:rPr>
        <w:t>..."), "...</w:t>
      </w:r>
      <w:r>
        <w:rPr>
          <w:rFonts w:ascii="David" w:hAnsi="David"/>
          <w:b/>
          <w:bCs/>
          <w:rtl/>
        </w:rPr>
        <w:t>אך הכל היה אשליה ובדיה</w:t>
      </w:r>
      <w:r>
        <w:rPr>
          <w:rFonts w:ascii="David" w:hAnsi="David"/>
          <w:rtl/>
        </w:rPr>
        <w:t xml:space="preserve">" (סעיף 55 לתביעת האישה). </w:t>
      </w:r>
    </w:p>
    <w:p w:rsidR="00FC26BE" w:rsidRDefault="00FC26BE" w:rsidP="00FC26BE">
      <w:pPr>
        <w:spacing w:line="360" w:lineRule="auto"/>
        <w:ind w:left="720" w:hanging="636"/>
        <w:jc w:val="both"/>
        <w:rPr>
          <w:rFonts w:ascii="David" w:hAnsi="David"/>
          <w:rtl/>
        </w:rPr>
      </w:pPr>
    </w:p>
    <w:p w:rsidR="00FC26BE" w:rsidRDefault="00FC26BE" w:rsidP="00FC26BE">
      <w:pPr>
        <w:spacing w:line="360" w:lineRule="auto"/>
        <w:ind w:left="720" w:hanging="636"/>
        <w:jc w:val="both"/>
        <w:rPr>
          <w:rFonts w:ascii="David" w:hAnsi="David"/>
          <w:rtl/>
        </w:rPr>
      </w:pPr>
      <w:r>
        <w:rPr>
          <w:rFonts w:ascii="David" w:hAnsi="David"/>
          <w:rtl/>
        </w:rPr>
        <w:t>6.</w:t>
      </w:r>
      <w:r>
        <w:rPr>
          <w:rFonts w:ascii="David" w:hAnsi="David"/>
          <w:rtl/>
        </w:rPr>
        <w:tab/>
        <w:t xml:space="preserve">בטענותיה סברה שזה המקרה להפעלת סעיף 8 לחוק יחסי ממון, תשל"ג-1973 (להלן- </w:t>
      </w:r>
      <w:r>
        <w:rPr>
          <w:rFonts w:ascii="Miriam" w:hAnsi="Miriam" w:cs="Miriam"/>
          <w:b/>
          <w:bCs/>
          <w:rtl/>
        </w:rPr>
        <w:t>חוק יחסי ממון</w:t>
      </w:r>
      <w:r>
        <w:rPr>
          <w:rFonts w:ascii="David" w:hAnsi="David"/>
          <w:rtl/>
        </w:rPr>
        <w:t>) מכוחו יסטה בית המשפט מחלוקה שוויונית גורפת שכן האיש לא עמד במבחן "...</w:t>
      </w:r>
      <w:r>
        <w:rPr>
          <w:rFonts w:ascii="David" w:hAnsi="David"/>
          <w:b/>
          <w:bCs/>
          <w:rtl/>
        </w:rPr>
        <w:t>המאמץ המשותף</w:t>
      </w:r>
      <w:r>
        <w:rPr>
          <w:rFonts w:ascii="David" w:hAnsi="David"/>
          <w:rtl/>
        </w:rPr>
        <w:t xml:space="preserve">..." (סעיף 60 לתביעת האישה). </w:t>
      </w:r>
    </w:p>
    <w:p w:rsidR="00FC26BE" w:rsidRDefault="00FC26BE" w:rsidP="00FC26BE">
      <w:pPr>
        <w:spacing w:line="360" w:lineRule="auto"/>
        <w:ind w:left="720" w:hanging="636"/>
        <w:jc w:val="both"/>
        <w:rPr>
          <w:rFonts w:ascii="David" w:hAnsi="David"/>
          <w:rtl/>
        </w:rPr>
      </w:pPr>
    </w:p>
    <w:p w:rsidR="00FC26BE" w:rsidRDefault="00FC26BE" w:rsidP="00FC26BE">
      <w:pPr>
        <w:spacing w:line="360" w:lineRule="auto"/>
        <w:ind w:left="720" w:hanging="636"/>
        <w:jc w:val="both"/>
        <w:rPr>
          <w:rFonts w:ascii="David" w:hAnsi="David"/>
          <w:rtl/>
        </w:rPr>
      </w:pPr>
      <w:r>
        <w:rPr>
          <w:rFonts w:ascii="David" w:hAnsi="David"/>
          <w:rtl/>
        </w:rPr>
        <w:t>7.</w:t>
      </w:r>
      <w:r>
        <w:rPr>
          <w:rFonts w:ascii="David" w:hAnsi="David"/>
          <w:rtl/>
        </w:rPr>
        <w:tab/>
        <w:t>תחת ראש פרק "חלוקת הרכוש ומתן פסק דין הצהרתי בעניין חלק מהרכוש" העלתה האישה עוד טיעונים ביחס לרכושם של הצדדים:</w:t>
      </w:r>
    </w:p>
    <w:p w:rsidR="00FC26BE" w:rsidRDefault="00FC26BE" w:rsidP="00FC26BE">
      <w:pPr>
        <w:spacing w:line="360" w:lineRule="auto"/>
        <w:ind w:left="720" w:hanging="636"/>
        <w:jc w:val="both"/>
        <w:rPr>
          <w:rFonts w:ascii="David" w:hAnsi="David"/>
          <w:rtl/>
        </w:rPr>
      </w:pPr>
    </w:p>
    <w:p w:rsidR="00FC26BE" w:rsidRDefault="00FC26BE" w:rsidP="00351CAC">
      <w:pPr>
        <w:spacing w:line="360" w:lineRule="auto"/>
        <w:ind w:left="720"/>
        <w:jc w:val="both"/>
        <w:rPr>
          <w:rFonts w:ascii="David" w:hAnsi="David"/>
          <w:rtl/>
        </w:rPr>
      </w:pPr>
      <w:r>
        <w:rPr>
          <w:rFonts w:ascii="David" w:hAnsi="David"/>
          <w:rtl/>
        </w:rPr>
        <w:t>כך, טענה  שרכשה לאיש מכספה רכב בסך 237,000 ₪ לשם הקמת עסקו "</w:t>
      </w:r>
      <w:r w:rsidR="00351CAC">
        <w:rPr>
          <w:rFonts w:ascii="David" w:hAnsi="David" w:hint="cs"/>
        </w:rPr>
        <w:t>XXX</w:t>
      </w:r>
      <w:r>
        <w:rPr>
          <w:rFonts w:ascii="David" w:hAnsi="David"/>
          <w:rtl/>
        </w:rPr>
        <w:t>" (להלן-</w:t>
      </w:r>
      <w:r>
        <w:rPr>
          <w:rFonts w:ascii="Miriam" w:hAnsi="Miriam" w:cs="Miriam"/>
          <w:b/>
          <w:bCs/>
          <w:rtl/>
        </w:rPr>
        <w:t>הרכב</w:t>
      </w:r>
      <w:r>
        <w:rPr>
          <w:rFonts w:ascii="David" w:hAnsi="David"/>
          <w:rtl/>
        </w:rPr>
        <w:t xml:space="preserve">). הרכב אמנם  בשימושו של האיש אך הוא רשום על שמה ועל כן על האיש להשיב לה את הרכב; טענה שלא מדובר במתנה שהעניקה לאיש. </w:t>
      </w:r>
    </w:p>
    <w:p w:rsidR="00FC26BE" w:rsidRDefault="00FC26BE" w:rsidP="00351CAC">
      <w:pPr>
        <w:spacing w:line="360" w:lineRule="auto"/>
        <w:ind w:left="720"/>
        <w:jc w:val="both"/>
        <w:rPr>
          <w:rFonts w:ascii="David" w:hAnsi="David"/>
          <w:rtl/>
        </w:rPr>
      </w:pPr>
      <w:r>
        <w:rPr>
          <w:rFonts w:ascii="David" w:hAnsi="David"/>
          <w:rtl/>
        </w:rPr>
        <w:lastRenderedPageBreak/>
        <w:t xml:space="preserve">כך, טענה שבבעלותה רכב מסוג שברולט </w:t>
      </w:r>
      <w:r w:rsidR="00351CAC">
        <w:rPr>
          <w:rFonts w:ascii="David" w:hAnsi="David" w:hint="cs"/>
        </w:rPr>
        <w:t>XX</w:t>
      </w:r>
      <w:r w:rsidR="00351CAC">
        <w:rPr>
          <w:rFonts w:ascii="David" w:hAnsi="David"/>
        </w:rPr>
        <w:t>X</w:t>
      </w:r>
      <w:r>
        <w:rPr>
          <w:rFonts w:ascii="David" w:hAnsi="David"/>
          <w:rtl/>
        </w:rPr>
        <w:t xml:space="preserve"> (להלן-</w:t>
      </w:r>
      <w:r>
        <w:rPr>
          <w:rFonts w:ascii="Miriam" w:hAnsi="Miriam" w:cs="Miriam"/>
          <w:b/>
          <w:bCs/>
          <w:rtl/>
        </w:rPr>
        <w:t>הרכב הנוסף</w:t>
      </w:r>
      <w:r>
        <w:rPr>
          <w:rFonts w:ascii="David" w:hAnsi="David"/>
          <w:rtl/>
        </w:rPr>
        <w:t xml:space="preserve">) שנקנה על ידה ורשום על שמה; </w:t>
      </w:r>
    </w:p>
    <w:p w:rsidR="00FC26BE" w:rsidRDefault="00FC26BE" w:rsidP="00351CAC">
      <w:pPr>
        <w:spacing w:line="360" w:lineRule="auto"/>
        <w:ind w:left="720"/>
        <w:jc w:val="both"/>
        <w:rPr>
          <w:rFonts w:ascii="David" w:hAnsi="David"/>
          <w:rtl/>
        </w:rPr>
      </w:pPr>
      <w:r>
        <w:rPr>
          <w:rFonts w:ascii="David" w:hAnsi="David"/>
          <w:rtl/>
        </w:rPr>
        <w:t xml:space="preserve">כך, טענה שברשותה סכומי כסף וחסכונות שניתנו לה בשל </w:t>
      </w:r>
      <w:r w:rsidR="00351CAC">
        <w:rPr>
          <w:rFonts w:ascii="David" w:hAnsi="David" w:hint="cs"/>
        </w:rPr>
        <w:t>XXX</w:t>
      </w:r>
      <w:r>
        <w:rPr>
          <w:rFonts w:ascii="David" w:hAnsi="David"/>
          <w:rtl/>
        </w:rPr>
        <w:t xml:space="preserve"> בעלה הקודם ז"ל באירוע </w:t>
      </w:r>
      <w:r w:rsidR="00351CAC">
        <w:rPr>
          <w:rFonts w:ascii="David" w:hAnsi="David" w:hint="cs"/>
        </w:rPr>
        <w:t>XXX</w:t>
      </w:r>
      <w:r>
        <w:rPr>
          <w:rFonts w:ascii="David" w:hAnsi="David"/>
          <w:rtl/>
        </w:rPr>
        <w:t xml:space="preserve"> וסכומי כסף אלו שייכים רק לה; </w:t>
      </w:r>
    </w:p>
    <w:p w:rsidR="00FC26BE" w:rsidRDefault="00FC26BE" w:rsidP="00FC26BE">
      <w:pPr>
        <w:spacing w:line="360" w:lineRule="auto"/>
        <w:ind w:left="720"/>
        <w:jc w:val="both"/>
        <w:rPr>
          <w:rFonts w:ascii="David" w:hAnsi="David"/>
          <w:rtl/>
        </w:rPr>
      </w:pPr>
    </w:p>
    <w:p w:rsidR="00FC26BE" w:rsidRDefault="00FC26BE" w:rsidP="00FC26BE">
      <w:pPr>
        <w:spacing w:line="360" w:lineRule="auto"/>
        <w:ind w:left="720"/>
        <w:jc w:val="both"/>
        <w:rPr>
          <w:rFonts w:ascii="David" w:hAnsi="David"/>
          <w:rtl/>
        </w:rPr>
      </w:pPr>
      <w:r>
        <w:rPr>
          <w:rFonts w:ascii="David" w:hAnsi="David"/>
          <w:rtl/>
        </w:rPr>
        <w:t>כך, טענה שבבעלות הצדדים היה קרוון שנקנה בעלות של 100,000 ₪. (להלן-</w:t>
      </w:r>
      <w:r>
        <w:rPr>
          <w:rFonts w:ascii="Miriam" w:hAnsi="Miriam" w:cs="Miriam"/>
          <w:b/>
          <w:bCs/>
          <w:rtl/>
        </w:rPr>
        <w:t>הקרוון</w:t>
      </w:r>
      <w:r>
        <w:rPr>
          <w:rFonts w:ascii="David" w:hAnsi="David"/>
          <w:rtl/>
        </w:rPr>
        <w:t>). הקרוון נקנה ונמכר על ידי האיש ותמורת המכר  הועברה לחשבונו.</w:t>
      </w:r>
    </w:p>
    <w:p w:rsidR="00FC26BE" w:rsidRDefault="00FC26BE" w:rsidP="00FC26BE">
      <w:pPr>
        <w:spacing w:line="360" w:lineRule="auto"/>
        <w:ind w:left="720"/>
        <w:jc w:val="both"/>
        <w:rPr>
          <w:rFonts w:ascii="David" w:hAnsi="David"/>
          <w:rtl/>
        </w:rPr>
      </w:pPr>
    </w:p>
    <w:p w:rsidR="00FC26BE" w:rsidRDefault="00FC26BE" w:rsidP="00FC26BE">
      <w:pPr>
        <w:spacing w:line="360" w:lineRule="auto"/>
        <w:ind w:left="720"/>
        <w:jc w:val="both"/>
        <w:rPr>
          <w:rFonts w:ascii="David" w:hAnsi="David"/>
          <w:rtl/>
        </w:rPr>
      </w:pPr>
      <w:r>
        <w:rPr>
          <w:rFonts w:ascii="David" w:hAnsi="David"/>
          <w:rtl/>
        </w:rPr>
        <w:t xml:space="preserve">כך, טענה שהיא שילמה לבדה את יתרת החובה שהייתה בחשבון המשותף של הצדדים בסך 33,000 ₪. </w:t>
      </w:r>
    </w:p>
    <w:p w:rsidR="00FC26BE" w:rsidRDefault="00FC26BE" w:rsidP="00FC26BE">
      <w:pPr>
        <w:spacing w:line="360" w:lineRule="auto"/>
        <w:ind w:left="720"/>
        <w:jc w:val="both"/>
        <w:rPr>
          <w:rFonts w:ascii="David" w:hAnsi="David"/>
          <w:rtl/>
        </w:rPr>
      </w:pPr>
    </w:p>
    <w:p w:rsidR="00FC26BE" w:rsidRDefault="00FC26BE" w:rsidP="00FC26BE">
      <w:pPr>
        <w:spacing w:line="360" w:lineRule="auto"/>
        <w:ind w:left="714" w:hanging="630"/>
        <w:jc w:val="both"/>
        <w:rPr>
          <w:rFonts w:ascii="David" w:hAnsi="David"/>
          <w:rtl/>
        </w:rPr>
      </w:pPr>
      <w:r>
        <w:rPr>
          <w:rFonts w:ascii="David" w:hAnsi="David"/>
          <w:rtl/>
        </w:rPr>
        <w:t>8.</w:t>
      </w:r>
      <w:r>
        <w:rPr>
          <w:rFonts w:ascii="David" w:hAnsi="David"/>
          <w:rtl/>
        </w:rPr>
        <w:tab/>
        <w:t xml:space="preserve">האישה סיימה את תביעתה בסעיף עתירות (ס' 71 לתביעת האישה) בו עתרה שיינתן פסק דין הצהרתי לפיו: הדירה שייכת לה בלבד; הרכב והרכב הנוסף שניהם שייכים רק לה ועל כן להורות לאיש להשיב לה את הרכב; לחייב האיש בהשבת מחצית יתרת החובה בחשבון המשותף ששולמה על ידה. עוד ביקשה למנות אקטואר שיאזן את זכויות הצדדים. </w:t>
      </w:r>
    </w:p>
    <w:p w:rsidR="00FC26BE" w:rsidRDefault="00FC26BE" w:rsidP="00FC26BE">
      <w:pPr>
        <w:spacing w:line="360" w:lineRule="auto"/>
        <w:ind w:left="714" w:hanging="630"/>
        <w:jc w:val="both"/>
        <w:rPr>
          <w:rFonts w:ascii="David" w:hAnsi="David"/>
          <w:rtl/>
        </w:rPr>
      </w:pPr>
    </w:p>
    <w:p w:rsidR="00FC26BE" w:rsidRDefault="00FC26BE" w:rsidP="00FC26BE">
      <w:pPr>
        <w:spacing w:line="360" w:lineRule="auto"/>
        <w:ind w:left="714" w:hanging="630"/>
        <w:jc w:val="both"/>
        <w:rPr>
          <w:rFonts w:ascii="David" w:hAnsi="David"/>
          <w:rtl/>
        </w:rPr>
      </w:pPr>
      <w:r>
        <w:rPr>
          <w:rFonts w:ascii="David" w:hAnsi="David"/>
          <w:rtl/>
        </w:rPr>
        <w:t>9.</w:t>
      </w:r>
      <w:r>
        <w:rPr>
          <w:rFonts w:ascii="David" w:hAnsi="David"/>
          <w:rtl/>
        </w:rPr>
        <w:tab/>
        <w:t>בכתב הגנתה מפני תביעת האיש, שבה על מרבית טיעוניה, כאמור, הוסיפה שבין הצדדים  נהגה הפרדה רכושית. בנשימה אחת טענה מנגד שהיא זכאית לאיזון בכל נכסי הצדדים כולל כספים שקיבל מעבודתו כשכיר, כעוסק מורשה שהיה לו וכן מהחברה שבבעלותו וכך גם לגבי הקרוון שרכש בעלות של 100,000 ₪ והעברת תמורת המכר לחשבונו.</w:t>
      </w:r>
    </w:p>
    <w:p w:rsidR="00FC26BE" w:rsidRDefault="00FC26BE" w:rsidP="00FC26BE">
      <w:pPr>
        <w:spacing w:line="360" w:lineRule="auto"/>
        <w:ind w:left="714" w:hanging="630"/>
        <w:jc w:val="both"/>
        <w:rPr>
          <w:rFonts w:ascii="David" w:hAnsi="David"/>
          <w:rtl/>
        </w:rPr>
      </w:pPr>
    </w:p>
    <w:p w:rsidR="00FC26BE" w:rsidRDefault="00FC26BE" w:rsidP="00FC26BE">
      <w:pPr>
        <w:spacing w:line="360" w:lineRule="auto"/>
        <w:ind w:left="714"/>
        <w:jc w:val="both"/>
        <w:rPr>
          <w:rFonts w:ascii="David" w:hAnsi="David"/>
          <w:rtl/>
        </w:rPr>
      </w:pPr>
      <w:r>
        <w:rPr>
          <w:rFonts w:ascii="David" w:hAnsi="David"/>
          <w:rtl/>
        </w:rPr>
        <w:t>האישה הלינה על כך, שלאחר תקופת  החיים המשותפים עם האיש, כיום כל שנותר לה מכספי הפיצויים בסך 2,300,000 ₪ הוא סך של  40,000 ₪ .</w:t>
      </w:r>
    </w:p>
    <w:p w:rsidR="00FC26BE" w:rsidRDefault="00FC26BE" w:rsidP="00FC26BE">
      <w:pPr>
        <w:spacing w:line="360" w:lineRule="auto"/>
        <w:ind w:left="714"/>
        <w:jc w:val="both"/>
        <w:rPr>
          <w:rFonts w:ascii="David" w:hAnsi="David"/>
          <w:rtl/>
        </w:rPr>
      </w:pPr>
    </w:p>
    <w:p w:rsidR="00FC26BE" w:rsidRDefault="00FC26BE" w:rsidP="00FC26BE">
      <w:pPr>
        <w:spacing w:line="360" w:lineRule="auto"/>
        <w:ind w:left="714"/>
        <w:jc w:val="both"/>
        <w:rPr>
          <w:rFonts w:ascii="David" w:hAnsi="David"/>
          <w:rtl/>
        </w:rPr>
      </w:pPr>
      <w:r>
        <w:rPr>
          <w:rFonts w:ascii="David" w:hAnsi="David"/>
          <w:rtl/>
        </w:rPr>
        <w:t>ביחס להגנת האיש שטען  שהעביר סכומי כסף לחשבונה טענה שכל הכספים שהועברו על ידו נמשכו מהחשבון לשם תשלומים שלו וביניהם: לעובדים, לאחותו, לטיסות וכד'.</w:t>
      </w:r>
    </w:p>
    <w:p w:rsidR="00FC26BE" w:rsidRDefault="00FC26BE" w:rsidP="00FC26BE">
      <w:pPr>
        <w:spacing w:line="360" w:lineRule="auto"/>
        <w:ind w:left="714"/>
        <w:jc w:val="both"/>
        <w:rPr>
          <w:rFonts w:ascii="David" w:hAnsi="David"/>
          <w:rtl/>
        </w:rPr>
      </w:pPr>
    </w:p>
    <w:p w:rsidR="00FC26BE" w:rsidRDefault="00FC26BE" w:rsidP="00FC26BE">
      <w:pPr>
        <w:spacing w:line="360" w:lineRule="auto"/>
        <w:ind w:left="714"/>
        <w:jc w:val="both"/>
        <w:rPr>
          <w:rFonts w:ascii="David" w:hAnsi="David"/>
          <w:rtl/>
        </w:rPr>
      </w:pPr>
      <w:r>
        <w:rPr>
          <w:rFonts w:ascii="David" w:hAnsi="David"/>
          <w:rtl/>
        </w:rPr>
        <w:t xml:space="preserve">לעניין השיפוי לו טען האיש בהגנתו מכוח שיפוצו את הדירה טענה  שכל שעשה האיש הוא החלפת 4 מרצפות ולא הייתה כל השקעה מצדו. </w:t>
      </w:r>
    </w:p>
    <w:p w:rsidR="00FC26BE" w:rsidRDefault="00FC26BE" w:rsidP="00FC26BE">
      <w:pPr>
        <w:spacing w:line="360" w:lineRule="auto"/>
        <w:ind w:left="714"/>
        <w:jc w:val="both"/>
        <w:rPr>
          <w:rFonts w:ascii="David" w:hAnsi="David"/>
          <w:rtl/>
        </w:rPr>
      </w:pPr>
    </w:p>
    <w:p w:rsidR="00FC26BE" w:rsidRDefault="00FC26BE" w:rsidP="00FC26BE">
      <w:pPr>
        <w:spacing w:line="360" w:lineRule="auto"/>
        <w:jc w:val="both"/>
        <w:rPr>
          <w:rFonts w:ascii="David" w:hAnsi="David"/>
          <w:b/>
          <w:bCs/>
          <w:sz w:val="26"/>
          <w:szCs w:val="26"/>
          <w:rtl/>
        </w:rPr>
      </w:pPr>
      <w:r>
        <w:rPr>
          <w:rFonts w:ascii="David" w:hAnsi="David"/>
          <w:b/>
          <w:bCs/>
          <w:sz w:val="26"/>
          <w:szCs w:val="26"/>
          <w:u w:val="single"/>
          <w:rtl/>
        </w:rPr>
        <w:t>עיקר טענות האיש</w:t>
      </w:r>
      <w:r>
        <w:rPr>
          <w:rFonts w:ascii="David" w:hAnsi="David"/>
          <w:b/>
          <w:bCs/>
          <w:sz w:val="26"/>
          <w:szCs w:val="26"/>
          <w:rtl/>
        </w:rPr>
        <w:t>:</w:t>
      </w:r>
    </w:p>
    <w:p w:rsidR="00FC26BE" w:rsidRDefault="00FC26BE" w:rsidP="00FC26BE">
      <w:pPr>
        <w:spacing w:line="360" w:lineRule="auto"/>
        <w:ind w:left="720" w:hanging="720"/>
        <w:jc w:val="both"/>
        <w:rPr>
          <w:rFonts w:ascii="David" w:hAnsi="David"/>
          <w:rtl/>
        </w:rPr>
      </w:pPr>
    </w:p>
    <w:p w:rsidR="00FC26BE" w:rsidRDefault="00FC26BE" w:rsidP="00FC26BE">
      <w:pPr>
        <w:spacing w:line="360" w:lineRule="auto"/>
        <w:ind w:left="720" w:hanging="720"/>
        <w:jc w:val="both"/>
        <w:rPr>
          <w:rFonts w:ascii="David" w:hAnsi="David"/>
          <w:rtl/>
        </w:rPr>
      </w:pPr>
      <w:r>
        <w:rPr>
          <w:rFonts w:ascii="David" w:hAnsi="David"/>
          <w:rtl/>
        </w:rPr>
        <w:t>10.</w:t>
      </w:r>
      <w:r>
        <w:rPr>
          <w:rFonts w:ascii="David" w:hAnsi="David"/>
          <w:rtl/>
        </w:rPr>
        <w:tab/>
        <w:t>בתביעתו עתר האיש לפירוק שיתוף בדירה אשר נרכשה על ידי הצדדים ונרשמה על שם שניהם בחלקים שווים. אכן ההון העצמי שולם מכספי הפיצויים של האישה, אך משנרשם הנכס על שם שני הצדדים מדובר במתנה שהושלמה ברישום ואין כל עילה לביטול המתנה.</w:t>
      </w:r>
    </w:p>
    <w:p w:rsidR="00FC26BE" w:rsidRDefault="00FC26BE" w:rsidP="00FC26BE">
      <w:pPr>
        <w:spacing w:line="360" w:lineRule="auto"/>
        <w:ind w:left="720" w:hanging="720"/>
        <w:jc w:val="both"/>
        <w:rPr>
          <w:rFonts w:ascii="David" w:hAnsi="David"/>
          <w:rtl/>
        </w:rPr>
      </w:pPr>
    </w:p>
    <w:p w:rsidR="00FC26BE" w:rsidRDefault="00FC26BE" w:rsidP="00FC26BE">
      <w:pPr>
        <w:spacing w:line="360" w:lineRule="auto"/>
        <w:ind w:left="720" w:hanging="720"/>
        <w:jc w:val="both"/>
        <w:rPr>
          <w:rFonts w:ascii="David" w:hAnsi="David"/>
          <w:rtl/>
        </w:rPr>
      </w:pPr>
      <w:r>
        <w:rPr>
          <w:rFonts w:ascii="David" w:hAnsi="David"/>
          <w:rtl/>
        </w:rPr>
        <w:tab/>
        <w:t>"...</w:t>
      </w:r>
      <w:r>
        <w:rPr>
          <w:rFonts w:ascii="David" w:hAnsi="David"/>
          <w:b/>
          <w:bCs/>
          <w:rtl/>
        </w:rPr>
        <w:t xml:space="preserve">במצב בו בחרה התובעת בחירה מושכלת לערב ולמזג נכסים אישיים שלה כדוגמת פיצויים שקיבלה לידיה, ואלה הוטעמו לטובת רכישת נכס משותף, הרי שכספים אלה הפכו להיות משותפים  מכח דיני המתנה ואין עוד מקום להתחקות אחר מקורם; בנסיבות </w:t>
      </w:r>
      <w:r>
        <w:rPr>
          <w:rFonts w:ascii="David" w:hAnsi="David"/>
          <w:b/>
          <w:bCs/>
          <w:rtl/>
        </w:rPr>
        <w:lastRenderedPageBreak/>
        <w:t>בהן נרשם הנכס על שם שני הצדדים כשהתובעת בחרה שלא לערוך עם הנתבע הסכם ממון ביחס לנכס, כפי שידעה לעשות בעבר ביחס לנכס אחר שלה, הרי שהנכס הינו בבעלות שני הצדדים ללא קשר למידת ההשקעה שחל מי מהצדדים ברכישה</w:t>
      </w:r>
      <w:r>
        <w:rPr>
          <w:rFonts w:ascii="David" w:hAnsi="David"/>
          <w:rtl/>
        </w:rPr>
        <w:t>"</w:t>
      </w:r>
    </w:p>
    <w:p w:rsidR="00FC26BE" w:rsidRDefault="00FC26BE" w:rsidP="00FC26BE">
      <w:pPr>
        <w:spacing w:line="360" w:lineRule="auto"/>
        <w:ind w:left="720" w:hanging="720"/>
        <w:jc w:val="both"/>
        <w:rPr>
          <w:rFonts w:ascii="David" w:hAnsi="David"/>
          <w:rtl/>
        </w:rPr>
      </w:pPr>
    </w:p>
    <w:p w:rsidR="00FC26BE" w:rsidRDefault="00FC26BE" w:rsidP="00FC26BE">
      <w:pPr>
        <w:spacing w:line="360" w:lineRule="auto"/>
        <w:ind w:left="720"/>
        <w:jc w:val="both"/>
        <w:rPr>
          <w:rFonts w:ascii="David" w:hAnsi="David"/>
          <w:rtl/>
        </w:rPr>
      </w:pPr>
      <w:r>
        <w:rPr>
          <w:rFonts w:ascii="David" w:hAnsi="David"/>
          <w:rtl/>
        </w:rPr>
        <w:t xml:space="preserve"> (ס' 1.6 להגנת האיש בתביעת האישה) טענה זו עולה מיני וביה גם בכתב תביעתו. </w:t>
      </w:r>
    </w:p>
    <w:p w:rsidR="00FC26BE" w:rsidRDefault="00FC26BE" w:rsidP="00FC26BE">
      <w:pPr>
        <w:spacing w:line="360" w:lineRule="auto"/>
        <w:ind w:left="720" w:hanging="720"/>
        <w:jc w:val="both"/>
        <w:rPr>
          <w:rFonts w:ascii="David" w:hAnsi="David"/>
          <w:rtl/>
        </w:rPr>
      </w:pPr>
    </w:p>
    <w:p w:rsidR="00FC26BE" w:rsidRDefault="00FC26BE" w:rsidP="00351CAC">
      <w:pPr>
        <w:spacing w:line="360" w:lineRule="auto"/>
        <w:ind w:left="720"/>
        <w:jc w:val="both"/>
        <w:rPr>
          <w:rFonts w:ascii="David" w:hAnsi="David"/>
          <w:rtl/>
        </w:rPr>
      </w:pPr>
      <w:r>
        <w:rPr>
          <w:rFonts w:ascii="David" w:hAnsi="David"/>
          <w:rtl/>
        </w:rPr>
        <w:t xml:space="preserve">האיש טען שטענות האישה חסרות תום לב ויש להורות על פירוק השיתוף בדירה וחלוקת התמורה בניכוי דמי המשכנתא בחלקים שווים. לאישה בית נוסף שבבעלותה ודמי פיצויים בסך 2,300,000 ₪ שקיבלה בעקבות </w:t>
      </w:r>
      <w:r w:rsidR="00351CAC">
        <w:rPr>
          <w:rFonts w:ascii="David" w:hAnsi="David" w:hint="cs"/>
        </w:rPr>
        <w:t>XXX</w:t>
      </w:r>
      <w:r>
        <w:rPr>
          <w:rFonts w:ascii="David" w:hAnsi="David"/>
          <w:rtl/>
        </w:rPr>
        <w:t xml:space="preserve"> בעלה הקודם ועל כן אין לה כל בעיה לרכוש את חלקו של האיש או לחילופים למצוא לעצמה דיור חלופי. טען שהגם שדמי המשכנתא שולמו מחשבונה של האישה דבר שנעשה על דעתה בלבד שכן הצדדים פתחו חשבון בנק משותף לשם כך, הוא העביר לה מחשבונו מידי חודש אלפי שקלים כדמי השתתפות. עד לחודש 12/18 שילם את כלל הביטוחים הנדרשים עבור הדירה. לדידו לאחר רכישת הדירה שיפץ אותה עם עובדיו בעלות של כ-160,000 ₪. טען שעומדת לו הזכות לתבוע דמי שימוש שכן הוא עזב את הדירה ונאלץ לשכור לעצמו דירה אחרת, ויש לקזז זכות זו אל מול העובדה שמאז עזיבתו האישה נושאת בדמי המשכנתא לבדה. יש לאזן את מלוא זכויות הצדדים נצברו במהלך נישואיהם, לרבות המיטלטלין בדירה. האישה אמנם רכשה את הרכב מכספה אך העניקה לו אותו במתנה  ועל כן אין מקום לאזן את הרכב והוא יישאר בבעלותו בלבד. לטעמו הרכב רשום על שם שני הצדדים (על פי חוות דעת האקטואר הרכב רשום על שם האישה בלבד- מ.ל). </w:t>
      </w:r>
    </w:p>
    <w:p w:rsidR="00FC26BE" w:rsidRDefault="00FC26BE" w:rsidP="00FC26BE">
      <w:pPr>
        <w:spacing w:line="360" w:lineRule="auto"/>
        <w:ind w:left="720"/>
        <w:jc w:val="both"/>
        <w:rPr>
          <w:rFonts w:ascii="David" w:hAnsi="David"/>
          <w:rtl/>
        </w:rPr>
      </w:pPr>
    </w:p>
    <w:p w:rsidR="00FC26BE" w:rsidRDefault="00FC26BE" w:rsidP="00FC26BE">
      <w:pPr>
        <w:spacing w:line="360" w:lineRule="auto"/>
        <w:ind w:left="720"/>
        <w:jc w:val="both"/>
        <w:rPr>
          <w:rFonts w:ascii="David" w:hAnsi="David"/>
          <w:rtl/>
        </w:rPr>
      </w:pPr>
      <w:r>
        <w:rPr>
          <w:rFonts w:ascii="David" w:hAnsi="David"/>
          <w:rtl/>
        </w:rPr>
        <w:t>האיש הוסיף וטען שהאישה אינה יכול לטעון לחלוקה לא שוויונית מכוח סעיף 8(2) לחוק יחסי ממון שכן משעה שנרשמה  הדירה על שם שני הצדדים דיני הקניין החלים גם בענייני משפחה קובעים שהצדדים כבר הסכימו על אופן החלוקה והרישום מהווה ראייה חותכת לתוכנו. הצדדים לא ערכו הסכם ממון, כפי שנעשה בעבר.</w:t>
      </w:r>
    </w:p>
    <w:p w:rsidR="00FC26BE" w:rsidRDefault="00FC26BE" w:rsidP="00FC26BE">
      <w:pPr>
        <w:spacing w:line="360" w:lineRule="auto"/>
        <w:jc w:val="both"/>
        <w:rPr>
          <w:rFonts w:ascii="David" w:hAnsi="David"/>
          <w:rtl/>
        </w:rPr>
      </w:pPr>
    </w:p>
    <w:p w:rsidR="00FC26BE" w:rsidRDefault="00FC26BE" w:rsidP="00FC26BE">
      <w:pPr>
        <w:spacing w:line="360" w:lineRule="auto"/>
        <w:jc w:val="both"/>
        <w:rPr>
          <w:rFonts w:ascii="David" w:hAnsi="David"/>
          <w:b/>
          <w:bCs/>
          <w:sz w:val="26"/>
          <w:szCs w:val="26"/>
          <w:rtl/>
        </w:rPr>
      </w:pPr>
      <w:r>
        <w:rPr>
          <w:rFonts w:ascii="David" w:hAnsi="David"/>
          <w:b/>
          <w:bCs/>
          <w:sz w:val="26"/>
          <w:szCs w:val="26"/>
          <w:u w:val="single"/>
          <w:rtl/>
        </w:rPr>
        <w:t>מומחים:</w:t>
      </w:r>
    </w:p>
    <w:p w:rsidR="00FC26BE" w:rsidRDefault="00FC26BE" w:rsidP="00FC26BE">
      <w:pPr>
        <w:spacing w:line="360" w:lineRule="auto"/>
        <w:jc w:val="both"/>
        <w:rPr>
          <w:rFonts w:ascii="David" w:hAnsi="David"/>
          <w:b/>
          <w:bCs/>
          <w:sz w:val="26"/>
          <w:szCs w:val="26"/>
          <w:rtl/>
        </w:rPr>
      </w:pPr>
    </w:p>
    <w:p w:rsidR="00FC26BE" w:rsidRDefault="00FC26BE" w:rsidP="00FC26BE">
      <w:pPr>
        <w:spacing w:line="360" w:lineRule="auto"/>
        <w:ind w:left="720" w:hanging="720"/>
        <w:jc w:val="both"/>
        <w:rPr>
          <w:rFonts w:ascii="David" w:hAnsi="David"/>
          <w:rtl/>
        </w:rPr>
      </w:pPr>
      <w:r>
        <w:rPr>
          <w:rFonts w:ascii="David" w:hAnsi="David"/>
          <w:rtl/>
        </w:rPr>
        <w:t>11.</w:t>
      </w:r>
      <w:r>
        <w:rPr>
          <w:rFonts w:ascii="David" w:hAnsi="David"/>
          <w:rtl/>
        </w:rPr>
        <w:tab/>
        <w:t>במהלך ההליך מונו שני מומחים שמאי מקרקעין להעריך את שווי הדירה ואקטואר לשום את רכושם של הצדדים  זולת, הדירה, הרכב והרכב הנוסף.</w:t>
      </w:r>
    </w:p>
    <w:p w:rsidR="00FC26BE" w:rsidRDefault="00FC26BE" w:rsidP="00FC26BE">
      <w:pPr>
        <w:spacing w:line="360" w:lineRule="auto"/>
        <w:ind w:firstLine="720"/>
        <w:jc w:val="both"/>
        <w:rPr>
          <w:rFonts w:ascii="David" w:hAnsi="David"/>
          <w:b/>
          <w:bCs/>
          <w:rtl/>
        </w:rPr>
      </w:pPr>
    </w:p>
    <w:p w:rsidR="00FC26BE" w:rsidRDefault="00FC26BE" w:rsidP="00FC26BE">
      <w:pPr>
        <w:spacing w:line="360" w:lineRule="auto"/>
        <w:ind w:firstLine="720"/>
        <w:jc w:val="both"/>
        <w:rPr>
          <w:rFonts w:ascii="David" w:hAnsi="David"/>
          <w:b/>
          <w:bCs/>
          <w:rtl/>
        </w:rPr>
      </w:pPr>
      <w:r>
        <w:rPr>
          <w:rFonts w:ascii="David" w:hAnsi="David"/>
          <w:b/>
          <w:bCs/>
          <w:rtl/>
        </w:rPr>
        <w:t>חוות דעת שמאי המקרקעין:</w:t>
      </w:r>
    </w:p>
    <w:p w:rsidR="00FC26BE" w:rsidRDefault="00FC26BE" w:rsidP="00FC26BE">
      <w:pPr>
        <w:spacing w:line="360" w:lineRule="auto"/>
        <w:ind w:firstLine="720"/>
        <w:jc w:val="both"/>
        <w:rPr>
          <w:rFonts w:ascii="David" w:hAnsi="David"/>
          <w:b/>
          <w:bCs/>
          <w:rtl/>
        </w:rPr>
      </w:pPr>
    </w:p>
    <w:p w:rsidR="00FC26BE" w:rsidRDefault="00FC26BE" w:rsidP="00FC26BE">
      <w:pPr>
        <w:spacing w:line="360" w:lineRule="auto"/>
        <w:ind w:left="720" w:hanging="720"/>
        <w:jc w:val="both"/>
        <w:rPr>
          <w:rFonts w:ascii="David" w:hAnsi="David"/>
          <w:rtl/>
        </w:rPr>
      </w:pPr>
      <w:r>
        <w:rPr>
          <w:rFonts w:ascii="David" w:hAnsi="David"/>
          <w:rtl/>
        </w:rPr>
        <w:t>12.</w:t>
      </w:r>
      <w:r>
        <w:rPr>
          <w:rFonts w:ascii="David" w:hAnsi="David"/>
          <w:rtl/>
        </w:rPr>
        <w:tab/>
        <w:t>כאמור, בהסכמת הצדדים מונה שמאי  מקרקעין לשום את שווי הדירה (החלטה מיום 4/12/2019.).</w:t>
      </w:r>
    </w:p>
    <w:p w:rsidR="00FC26BE" w:rsidRDefault="00FC26BE" w:rsidP="00FC26BE">
      <w:pPr>
        <w:spacing w:line="360" w:lineRule="auto"/>
        <w:ind w:left="720" w:hanging="720"/>
        <w:jc w:val="both"/>
        <w:rPr>
          <w:rFonts w:ascii="David" w:hAnsi="David"/>
          <w:rtl/>
        </w:rPr>
      </w:pPr>
    </w:p>
    <w:p w:rsidR="00FC26BE" w:rsidRDefault="00FC26BE" w:rsidP="00FC26BE">
      <w:pPr>
        <w:spacing w:line="360" w:lineRule="auto"/>
        <w:ind w:left="720"/>
        <w:jc w:val="both"/>
        <w:rPr>
          <w:rFonts w:ascii="David" w:hAnsi="David"/>
          <w:rtl/>
        </w:rPr>
      </w:pPr>
      <w:r>
        <w:rPr>
          <w:rFonts w:ascii="David" w:hAnsi="David"/>
          <w:rtl/>
        </w:rPr>
        <w:t xml:space="preserve">חוות הדעת מטעם השמאי הוגשה לתיק ביום 30/1/20. בהקדמה לחוות הדעת נכתב על ידי  השמאי דוד שטרית שב"כ האיש פנתה אליו וביקשה ממנו להידרש במסגרת חוות דעתו לשיפוץ הדירה הנטען על ידי האיש בסך של כ- 160,000 ₪. השמאי סירב שכן זה הטענה </w:t>
      </w:r>
      <w:r>
        <w:rPr>
          <w:rFonts w:ascii="David" w:hAnsi="David"/>
          <w:rtl/>
        </w:rPr>
        <w:lastRenderedPageBreak/>
        <w:t xml:space="preserve">אינה בתחום המנדט שניתן לו. לאחר הגשת חוות הדעת הצדדים לא שלחו שאלות הבהרה שמאי  ולא ביקשו לזמן את המומחה לעדות ועל כן חוות הדעת מתקבלת ככתבה וכלשונה. </w:t>
      </w:r>
    </w:p>
    <w:p w:rsidR="00FC26BE" w:rsidRDefault="00FC26BE" w:rsidP="00FC26BE">
      <w:pPr>
        <w:spacing w:line="360" w:lineRule="auto"/>
        <w:ind w:left="720"/>
        <w:jc w:val="both"/>
        <w:rPr>
          <w:rFonts w:ascii="David" w:hAnsi="David"/>
          <w:rtl/>
        </w:rPr>
      </w:pPr>
    </w:p>
    <w:p w:rsidR="00FC26BE" w:rsidRDefault="00FC26BE" w:rsidP="00FC26BE">
      <w:pPr>
        <w:spacing w:line="360" w:lineRule="auto"/>
        <w:ind w:left="720"/>
        <w:jc w:val="both"/>
        <w:rPr>
          <w:rFonts w:ascii="David" w:hAnsi="David"/>
          <w:rtl/>
        </w:rPr>
      </w:pPr>
      <w:r>
        <w:rPr>
          <w:rFonts w:ascii="David" w:hAnsi="David"/>
          <w:rtl/>
        </w:rPr>
        <w:t>בסיכומה של חוות הדעת הוערכה הדירה למועד הגשת חוות הדעת בשווי של 2,200,000 ₪ ודמי השימוש הראויים על סך של 6,750 ₪ כדמי שכירות חודשיים.</w:t>
      </w:r>
    </w:p>
    <w:p w:rsidR="00FC26BE" w:rsidRDefault="00FC26BE" w:rsidP="00FC26BE">
      <w:pPr>
        <w:spacing w:line="360" w:lineRule="auto"/>
        <w:jc w:val="both"/>
        <w:rPr>
          <w:rFonts w:ascii="David" w:hAnsi="David"/>
          <w:b/>
          <w:bCs/>
          <w:u w:val="single"/>
          <w:rtl/>
        </w:rPr>
      </w:pPr>
    </w:p>
    <w:p w:rsidR="00FC26BE" w:rsidRDefault="00FC26BE" w:rsidP="00FC26BE">
      <w:pPr>
        <w:spacing w:line="360" w:lineRule="auto"/>
        <w:ind w:firstLine="720"/>
        <w:jc w:val="both"/>
        <w:rPr>
          <w:rFonts w:ascii="David" w:hAnsi="David"/>
          <w:b/>
          <w:bCs/>
          <w:rtl/>
        </w:rPr>
      </w:pPr>
      <w:r>
        <w:rPr>
          <w:rFonts w:ascii="David" w:hAnsi="David"/>
          <w:b/>
          <w:bCs/>
          <w:rtl/>
        </w:rPr>
        <w:t>חוות דעת האקטואר:</w:t>
      </w:r>
    </w:p>
    <w:p w:rsidR="00FC26BE" w:rsidRDefault="00FC26BE" w:rsidP="00FC26BE">
      <w:pPr>
        <w:spacing w:line="360" w:lineRule="auto"/>
        <w:ind w:firstLine="720"/>
        <w:jc w:val="both"/>
        <w:rPr>
          <w:rFonts w:ascii="David" w:hAnsi="David"/>
          <w:b/>
          <w:bCs/>
          <w:rtl/>
        </w:rPr>
      </w:pPr>
    </w:p>
    <w:p w:rsidR="00FC26BE" w:rsidRDefault="00FC26BE" w:rsidP="00FC26BE">
      <w:pPr>
        <w:spacing w:line="360" w:lineRule="auto"/>
        <w:ind w:left="720" w:hanging="636"/>
        <w:jc w:val="both"/>
        <w:rPr>
          <w:rFonts w:ascii="David" w:hAnsi="David"/>
          <w:rtl/>
        </w:rPr>
      </w:pPr>
      <w:r>
        <w:rPr>
          <w:rFonts w:ascii="David" w:hAnsi="David"/>
          <w:rtl/>
        </w:rPr>
        <w:t>13.</w:t>
      </w:r>
      <w:r>
        <w:rPr>
          <w:rFonts w:ascii="David" w:hAnsi="David"/>
          <w:rtl/>
        </w:rPr>
        <w:tab/>
        <w:t xml:space="preserve">כאמור, האקטואר מונה בהסכמת הצדדים על מנת לשום ולאזן את זכויות הצדדים (החלטה מיום 4/12/2019.). </w:t>
      </w:r>
    </w:p>
    <w:p w:rsidR="00FC26BE" w:rsidRDefault="00FC26BE" w:rsidP="00FC26BE">
      <w:pPr>
        <w:spacing w:line="360" w:lineRule="auto"/>
        <w:ind w:left="720" w:hanging="636"/>
        <w:jc w:val="both"/>
        <w:rPr>
          <w:rFonts w:ascii="David" w:hAnsi="David"/>
          <w:rtl/>
        </w:rPr>
      </w:pPr>
    </w:p>
    <w:p w:rsidR="00FC26BE" w:rsidRDefault="00FC26BE" w:rsidP="00FC26BE">
      <w:pPr>
        <w:spacing w:line="360" w:lineRule="auto"/>
        <w:ind w:left="720"/>
        <w:jc w:val="both"/>
        <w:rPr>
          <w:rFonts w:ascii="David" w:hAnsi="David"/>
          <w:rtl/>
        </w:rPr>
      </w:pPr>
      <w:r>
        <w:rPr>
          <w:rFonts w:ascii="David" w:hAnsi="David"/>
          <w:rtl/>
        </w:rPr>
        <w:t>חוות הדעת האקטוארית הוגשה לתיק ביום 14/5/20. קודם להגשת חוות הדעת, במסגרת הטיוטה שהועברה לעיון הצדדים, הוגשו למומחה שאלות הבהרה מטעם באי כוח הצדדים, המומחה התייחס לשאלות וגם ביצע תיקונים נדרשים כך שהנוסח הסופי כלל את התייחסותו לכל התיקונים הנדרשים. לאחר שהוגשה חוות הדעת הסופית לא הגישו הצדדים שאלות הבהרה נוספות ולא עתרו לחקירתו ועל כן חוות הדעת מתקבלת ככתבה וכלשונה.</w:t>
      </w:r>
    </w:p>
    <w:p w:rsidR="00FC26BE" w:rsidRDefault="00FC26BE" w:rsidP="00FC26BE">
      <w:pPr>
        <w:spacing w:line="360" w:lineRule="auto"/>
        <w:ind w:left="720"/>
        <w:jc w:val="both"/>
        <w:rPr>
          <w:rFonts w:ascii="David" w:hAnsi="David"/>
          <w:rtl/>
        </w:rPr>
      </w:pPr>
    </w:p>
    <w:p w:rsidR="00FC26BE" w:rsidRDefault="00FC26BE" w:rsidP="00FC26BE">
      <w:pPr>
        <w:spacing w:line="360" w:lineRule="auto"/>
        <w:ind w:left="720"/>
        <w:jc w:val="both"/>
        <w:rPr>
          <w:rFonts w:ascii="David" w:hAnsi="David"/>
          <w:rtl/>
        </w:rPr>
      </w:pPr>
      <w:r>
        <w:rPr>
          <w:rFonts w:ascii="David" w:hAnsi="David"/>
          <w:rtl/>
        </w:rPr>
        <w:t>במסקנות האקטואר לא נלקחו בחשבון הדירה; הרכבים; תיקון שיניו של האיש בעלות של 100,000</w:t>
      </w:r>
      <w:r>
        <w:rPr>
          <w:rFonts w:ascii="David" w:hAnsi="David"/>
          <w:rtl/>
        </w:rPr>
        <w:tab/>
        <w:t xml:space="preserve"> ₪ וטענה להעברת כספים מצד האישה לעסקו של האיש בסך 200,000 ₪. </w:t>
      </w:r>
    </w:p>
    <w:p w:rsidR="00FC26BE" w:rsidRDefault="00FC26BE" w:rsidP="00FC26BE">
      <w:pPr>
        <w:spacing w:line="360" w:lineRule="auto"/>
        <w:ind w:left="720"/>
        <w:jc w:val="both"/>
        <w:rPr>
          <w:rFonts w:ascii="David" w:hAnsi="David"/>
          <w:rtl/>
        </w:rPr>
      </w:pPr>
    </w:p>
    <w:p w:rsidR="00FC26BE" w:rsidRDefault="00FC26BE" w:rsidP="00FC26BE">
      <w:pPr>
        <w:spacing w:line="360" w:lineRule="auto"/>
        <w:ind w:left="720"/>
        <w:jc w:val="both"/>
        <w:rPr>
          <w:rFonts w:ascii="David" w:hAnsi="David"/>
          <w:rtl/>
        </w:rPr>
      </w:pPr>
      <w:r>
        <w:rPr>
          <w:rFonts w:ascii="David" w:hAnsi="David"/>
          <w:rtl/>
        </w:rPr>
        <w:t>להלן החלופות שהוצעו בחוות הדעת: על פי חלופה א' שעניינה "תשלום חד פעמי היום" (הסבר מהות החלופה מצויה בדוח האקטואר מ.ל) לשם איזון כל הזכויות והנכסים שהוצגו לפני האקטואר על האיש להעביר לידי האישה סך של 28,548 ₪.</w:t>
      </w:r>
    </w:p>
    <w:p w:rsidR="00FC26BE" w:rsidRDefault="00FC26BE" w:rsidP="00FC26BE">
      <w:pPr>
        <w:spacing w:line="360" w:lineRule="auto"/>
        <w:ind w:left="720"/>
        <w:jc w:val="both"/>
        <w:rPr>
          <w:rFonts w:ascii="David" w:hAnsi="David"/>
          <w:rtl/>
        </w:rPr>
      </w:pPr>
    </w:p>
    <w:p w:rsidR="00FC26BE" w:rsidRDefault="00FC26BE" w:rsidP="00FC26BE">
      <w:pPr>
        <w:spacing w:line="360" w:lineRule="auto"/>
        <w:ind w:left="720"/>
        <w:jc w:val="both"/>
        <w:rPr>
          <w:rFonts w:ascii="David" w:hAnsi="David"/>
          <w:rtl/>
        </w:rPr>
      </w:pPr>
      <w:r>
        <w:rPr>
          <w:rFonts w:ascii="David" w:hAnsi="David"/>
          <w:rtl/>
        </w:rPr>
        <w:t>בחלופה ב' הוצע "תשלום ביום היגמל הכספים" לפי הסכומים שפורטו בנספח ב' ולכך ניתן להוסיף את  חלופה ג' שעניינה "איזון קופות/זכויות לפנסיה וקופות גמל שאינן נזילות ומחילים עליהן את החוק לחלוקת חיסכון פנסיוני בין בני זוג שנפרדו-התשע"ד-2014".</w:t>
      </w:r>
    </w:p>
    <w:p w:rsidR="00FC26BE" w:rsidRDefault="00FC26BE" w:rsidP="00FC26BE">
      <w:pPr>
        <w:spacing w:line="360" w:lineRule="auto"/>
        <w:ind w:left="720"/>
        <w:jc w:val="both"/>
        <w:rPr>
          <w:rFonts w:ascii="David" w:hAnsi="David"/>
          <w:rtl/>
        </w:rPr>
      </w:pPr>
    </w:p>
    <w:p w:rsidR="00FC26BE" w:rsidRDefault="00FC26BE" w:rsidP="00FC26BE">
      <w:pPr>
        <w:spacing w:line="360" w:lineRule="auto"/>
        <w:ind w:left="720"/>
        <w:jc w:val="both"/>
        <w:rPr>
          <w:rFonts w:ascii="David" w:hAnsi="David"/>
          <w:rtl/>
        </w:rPr>
      </w:pPr>
      <w:r>
        <w:rPr>
          <w:rFonts w:ascii="David" w:hAnsi="David"/>
          <w:rtl/>
        </w:rPr>
        <w:t>הצדדים עתרו שנים לאמץ את חלופה א' (סעיף 111 לסיכומיה של האישה וסעיף 166 לסיכומיו של האיש).</w:t>
      </w:r>
    </w:p>
    <w:p w:rsidR="00FC26BE" w:rsidRDefault="00FC26BE" w:rsidP="00FC26BE">
      <w:pPr>
        <w:spacing w:line="360" w:lineRule="auto"/>
        <w:ind w:left="720"/>
        <w:jc w:val="both"/>
        <w:rPr>
          <w:rFonts w:ascii="David" w:hAnsi="David"/>
          <w:rtl/>
        </w:rPr>
      </w:pPr>
    </w:p>
    <w:p w:rsidR="00FC26BE" w:rsidRDefault="00FC26BE" w:rsidP="00FC26BE">
      <w:pPr>
        <w:spacing w:line="360" w:lineRule="auto"/>
        <w:jc w:val="both"/>
        <w:rPr>
          <w:rFonts w:ascii="David" w:hAnsi="David"/>
          <w:b/>
          <w:bCs/>
          <w:sz w:val="26"/>
          <w:szCs w:val="26"/>
          <w:u w:val="single"/>
          <w:rtl/>
        </w:rPr>
      </w:pPr>
      <w:r>
        <w:rPr>
          <w:rFonts w:ascii="David" w:hAnsi="David"/>
          <w:b/>
          <w:bCs/>
          <w:sz w:val="26"/>
          <w:szCs w:val="26"/>
          <w:u w:val="single"/>
          <w:rtl/>
        </w:rPr>
        <w:t>השאלות בפסק הדין</w:t>
      </w:r>
      <w:r>
        <w:rPr>
          <w:rFonts w:ascii="David" w:hAnsi="David"/>
          <w:b/>
          <w:bCs/>
          <w:sz w:val="26"/>
          <w:szCs w:val="26"/>
          <w:rtl/>
        </w:rPr>
        <w:t>:</w:t>
      </w:r>
    </w:p>
    <w:p w:rsidR="00FC26BE" w:rsidRDefault="00FC26BE" w:rsidP="00FC26BE">
      <w:pPr>
        <w:spacing w:line="360" w:lineRule="auto"/>
        <w:jc w:val="both"/>
        <w:rPr>
          <w:rFonts w:ascii="David" w:hAnsi="David"/>
          <w:b/>
          <w:bCs/>
          <w:sz w:val="26"/>
          <w:szCs w:val="26"/>
          <w:u w:val="single"/>
          <w:rtl/>
        </w:rPr>
      </w:pPr>
    </w:p>
    <w:p w:rsidR="00FC26BE" w:rsidRDefault="00FC26BE" w:rsidP="00FC26BE">
      <w:pPr>
        <w:spacing w:line="360" w:lineRule="auto"/>
        <w:ind w:left="720" w:hanging="720"/>
        <w:jc w:val="both"/>
        <w:rPr>
          <w:rFonts w:ascii="David" w:hAnsi="David"/>
          <w:b/>
          <w:bCs/>
          <w:u w:val="single"/>
          <w:rtl/>
        </w:rPr>
      </w:pPr>
      <w:r>
        <w:rPr>
          <w:rFonts w:ascii="David" w:hAnsi="David"/>
          <w:rtl/>
        </w:rPr>
        <w:t>14.</w:t>
      </w:r>
      <w:r>
        <w:rPr>
          <w:rFonts w:ascii="David" w:hAnsi="David"/>
          <w:rtl/>
        </w:rPr>
        <w:tab/>
        <w:t xml:space="preserve">השאלה הראשונה אליה יש להידרש היא האם נהגה בין הצדדים הפרדה רכושית כטענת האישה. כך, מחלוקת הצדדים ביחס לבעלות בדירה האם כטענת האישה שהרישום אינו משקף בפועל את רצון הצדדים או לתר דיוק את רצונה או שהיא רכוש משותף לצדדים כטענת האיש. כך יש להידרש לשאלת הרכב והרכב הנוסף, תשלומים ששילמה האישה </w:t>
      </w:r>
      <w:r>
        <w:rPr>
          <w:rFonts w:ascii="David" w:hAnsi="David"/>
          <w:rtl/>
        </w:rPr>
        <w:lastRenderedPageBreak/>
        <w:t xml:space="preserve">ותשלומי איזון והאם ראוי ונכון לקבוע חלוקה בלתי שוויונית בין הצדדים מכוח סעיף 8 לחוק יחסי ממון. השאלות קשורות, סבוכות אחת בשניה ומאוגדות אחת בשנייה. </w:t>
      </w:r>
    </w:p>
    <w:p w:rsidR="00FC26BE" w:rsidRDefault="00FC26BE" w:rsidP="00FC26BE">
      <w:pPr>
        <w:spacing w:line="360" w:lineRule="auto"/>
        <w:ind w:left="720" w:hanging="720"/>
        <w:jc w:val="both"/>
        <w:rPr>
          <w:rFonts w:ascii="David" w:hAnsi="David"/>
          <w:b/>
          <w:bCs/>
          <w:u w:val="single"/>
          <w:rtl/>
        </w:rPr>
      </w:pPr>
    </w:p>
    <w:p w:rsidR="00FC26BE" w:rsidRDefault="00FC26BE" w:rsidP="00FC26BE">
      <w:pPr>
        <w:spacing w:line="360" w:lineRule="auto"/>
        <w:jc w:val="both"/>
        <w:rPr>
          <w:rFonts w:ascii="David" w:hAnsi="David"/>
          <w:b/>
          <w:bCs/>
          <w:sz w:val="26"/>
          <w:szCs w:val="26"/>
          <w:u w:val="single"/>
          <w:rtl/>
        </w:rPr>
      </w:pPr>
      <w:r>
        <w:rPr>
          <w:rFonts w:ascii="David" w:hAnsi="David"/>
          <w:b/>
          <w:bCs/>
          <w:sz w:val="26"/>
          <w:szCs w:val="26"/>
          <w:u w:val="single"/>
          <w:rtl/>
        </w:rPr>
        <w:t>דיוני הוכחות</w:t>
      </w:r>
      <w:r>
        <w:rPr>
          <w:rFonts w:ascii="David" w:hAnsi="David"/>
          <w:b/>
          <w:bCs/>
          <w:sz w:val="26"/>
          <w:szCs w:val="26"/>
          <w:rtl/>
        </w:rPr>
        <w:t xml:space="preserve"> :</w:t>
      </w:r>
    </w:p>
    <w:p w:rsidR="00FC26BE" w:rsidRDefault="00FC26BE" w:rsidP="00FC26BE">
      <w:pPr>
        <w:spacing w:line="360" w:lineRule="auto"/>
        <w:jc w:val="both"/>
        <w:rPr>
          <w:rFonts w:ascii="David" w:hAnsi="David"/>
          <w:b/>
          <w:bCs/>
          <w:sz w:val="26"/>
          <w:szCs w:val="26"/>
          <w:u w:val="single"/>
          <w:rtl/>
        </w:rPr>
      </w:pPr>
    </w:p>
    <w:p w:rsidR="00FC26BE" w:rsidRDefault="00FC26BE" w:rsidP="00351CAC">
      <w:pPr>
        <w:pStyle w:val="a3"/>
        <w:spacing w:line="360" w:lineRule="auto"/>
        <w:ind w:left="714" w:hanging="630"/>
        <w:jc w:val="both"/>
        <w:rPr>
          <w:rFonts w:ascii="David" w:hAnsi="David" w:cs="David"/>
          <w:sz w:val="24"/>
          <w:szCs w:val="24"/>
          <w:u w:val="single"/>
          <w:rtl/>
        </w:rPr>
      </w:pPr>
      <w:r>
        <w:rPr>
          <w:rFonts w:ascii="David" w:hAnsi="David" w:cs="David"/>
          <w:sz w:val="24"/>
          <w:szCs w:val="24"/>
          <w:rtl/>
        </w:rPr>
        <w:t>14.</w:t>
      </w:r>
      <w:r>
        <w:rPr>
          <w:rFonts w:ascii="David" w:hAnsi="David" w:cs="David"/>
          <w:sz w:val="24"/>
          <w:szCs w:val="24"/>
          <w:rtl/>
        </w:rPr>
        <w:tab/>
        <w:t xml:space="preserve">במהלך הדיון התקיימו מספר דיונים במסגרתם העידו לבד מהצדדים עצמם מטעם האיש הגב' </w:t>
      </w:r>
      <w:proofErr w:type="spellStart"/>
      <w:r>
        <w:rPr>
          <w:rFonts w:ascii="David" w:hAnsi="David" w:cs="David"/>
          <w:sz w:val="24"/>
          <w:szCs w:val="24"/>
          <w:rtl/>
        </w:rPr>
        <w:t>א</w:t>
      </w:r>
      <w:r w:rsidR="00351CAC">
        <w:rPr>
          <w:rFonts w:ascii="David" w:hAnsi="David" w:cs="David" w:hint="cs"/>
          <w:sz w:val="24"/>
          <w:szCs w:val="24"/>
          <w:rtl/>
        </w:rPr>
        <w:t>.</w:t>
      </w:r>
      <w:r>
        <w:rPr>
          <w:rFonts w:ascii="David" w:hAnsi="David" w:cs="David"/>
          <w:sz w:val="24"/>
          <w:szCs w:val="24"/>
          <w:rtl/>
        </w:rPr>
        <w:t>ר</w:t>
      </w:r>
      <w:proofErr w:type="spellEnd"/>
      <w:r w:rsidR="00351CAC">
        <w:rPr>
          <w:rFonts w:ascii="David" w:hAnsi="David" w:cs="David" w:hint="cs"/>
          <w:sz w:val="24"/>
          <w:szCs w:val="24"/>
          <w:rtl/>
        </w:rPr>
        <w:t>.</w:t>
      </w:r>
      <w:r>
        <w:rPr>
          <w:rFonts w:ascii="David" w:hAnsi="David" w:cs="David"/>
          <w:sz w:val="24"/>
          <w:szCs w:val="24"/>
          <w:rtl/>
        </w:rPr>
        <w:t xml:space="preserve"> ומר י</w:t>
      </w:r>
      <w:r w:rsidR="00351CAC">
        <w:rPr>
          <w:rFonts w:ascii="David" w:hAnsi="David" w:cs="David" w:hint="cs"/>
          <w:sz w:val="24"/>
          <w:szCs w:val="24"/>
          <w:rtl/>
        </w:rPr>
        <w:t>.</w:t>
      </w:r>
      <w:r>
        <w:rPr>
          <w:rFonts w:ascii="David" w:hAnsi="David" w:cs="David"/>
          <w:sz w:val="24"/>
          <w:szCs w:val="24"/>
          <w:rtl/>
        </w:rPr>
        <w:t xml:space="preserve"> ל</w:t>
      </w:r>
      <w:r w:rsidR="00351CAC">
        <w:rPr>
          <w:rFonts w:ascii="David" w:hAnsi="David" w:cs="David" w:hint="cs"/>
          <w:sz w:val="24"/>
          <w:szCs w:val="24"/>
          <w:rtl/>
        </w:rPr>
        <w:t>.</w:t>
      </w:r>
      <w:r>
        <w:rPr>
          <w:rFonts w:ascii="David" w:hAnsi="David" w:cs="David"/>
          <w:sz w:val="24"/>
          <w:szCs w:val="24"/>
          <w:rtl/>
        </w:rPr>
        <w:t xml:space="preserve"> ומטעם האישה הגב' ח</w:t>
      </w:r>
      <w:r w:rsidR="00351CAC">
        <w:rPr>
          <w:rFonts w:ascii="David" w:hAnsi="David" w:cs="David" w:hint="cs"/>
          <w:sz w:val="24"/>
          <w:szCs w:val="24"/>
          <w:rtl/>
        </w:rPr>
        <w:t>.</w:t>
      </w:r>
      <w:r>
        <w:rPr>
          <w:rFonts w:ascii="David" w:hAnsi="David" w:cs="David"/>
          <w:sz w:val="24"/>
          <w:szCs w:val="24"/>
          <w:rtl/>
        </w:rPr>
        <w:t>ז</w:t>
      </w:r>
      <w:r w:rsidR="00351CAC">
        <w:rPr>
          <w:rFonts w:ascii="David" w:hAnsi="David" w:cs="David" w:hint="cs"/>
          <w:sz w:val="24"/>
          <w:szCs w:val="24"/>
          <w:rtl/>
        </w:rPr>
        <w:t>.</w:t>
      </w:r>
      <w:r>
        <w:rPr>
          <w:rFonts w:ascii="David" w:hAnsi="David" w:cs="David"/>
          <w:sz w:val="24"/>
          <w:szCs w:val="24"/>
          <w:rtl/>
        </w:rPr>
        <w:t xml:space="preserve"> (</w:t>
      </w:r>
      <w:r w:rsidR="00351CAC">
        <w:rPr>
          <w:rFonts w:ascii="David" w:hAnsi="David" w:cs="David" w:hint="cs"/>
          <w:sz w:val="24"/>
          <w:szCs w:val="24"/>
        </w:rPr>
        <w:t>XX</w:t>
      </w:r>
      <w:r>
        <w:rPr>
          <w:rFonts w:ascii="David" w:hAnsi="David" w:cs="David"/>
          <w:sz w:val="24"/>
          <w:szCs w:val="24"/>
          <w:rtl/>
        </w:rPr>
        <w:t xml:space="preserve"> של האישה) ועו"ד א</w:t>
      </w:r>
      <w:r w:rsidR="00351CAC">
        <w:rPr>
          <w:rFonts w:ascii="David" w:hAnsi="David" w:cs="David" w:hint="cs"/>
          <w:sz w:val="24"/>
          <w:szCs w:val="24"/>
          <w:rtl/>
        </w:rPr>
        <w:t>.</w:t>
      </w:r>
      <w:r>
        <w:rPr>
          <w:rFonts w:ascii="David" w:hAnsi="David" w:cs="David"/>
          <w:sz w:val="24"/>
          <w:szCs w:val="24"/>
          <w:rtl/>
        </w:rPr>
        <w:t xml:space="preserve"> ק</w:t>
      </w:r>
      <w:r w:rsidR="00351CAC">
        <w:rPr>
          <w:rFonts w:ascii="David" w:hAnsi="David" w:cs="David" w:hint="cs"/>
          <w:sz w:val="24"/>
          <w:szCs w:val="24"/>
          <w:rtl/>
        </w:rPr>
        <w:t>.</w:t>
      </w:r>
      <w:r>
        <w:rPr>
          <w:rFonts w:ascii="David" w:hAnsi="David" w:cs="David"/>
          <w:sz w:val="24"/>
          <w:szCs w:val="24"/>
          <w:rtl/>
        </w:rPr>
        <w:t xml:space="preserve">. לא מצאתי רלוונטיות בעדותם של העדים לשאלות המשפטיות השנויות במחלוקת וכפי שיפורט להלן. </w:t>
      </w:r>
    </w:p>
    <w:p w:rsidR="00FC26BE" w:rsidRDefault="00FC26BE" w:rsidP="00FC26BE">
      <w:pPr>
        <w:spacing w:line="360" w:lineRule="auto"/>
        <w:jc w:val="both"/>
        <w:rPr>
          <w:rFonts w:ascii="David" w:hAnsi="David"/>
          <w:b/>
          <w:bCs/>
          <w:sz w:val="26"/>
          <w:szCs w:val="26"/>
          <w:u w:val="single"/>
        </w:rPr>
      </w:pPr>
      <w:r>
        <w:rPr>
          <w:rFonts w:ascii="David" w:hAnsi="David"/>
          <w:b/>
          <w:bCs/>
          <w:sz w:val="26"/>
          <w:szCs w:val="26"/>
          <w:u w:val="single"/>
          <w:rtl/>
        </w:rPr>
        <w:t>דיון והכרעה</w:t>
      </w:r>
      <w:r>
        <w:rPr>
          <w:rFonts w:ascii="David" w:hAnsi="David"/>
          <w:b/>
          <w:bCs/>
          <w:sz w:val="26"/>
          <w:szCs w:val="26"/>
          <w:rtl/>
        </w:rPr>
        <w:t>:</w:t>
      </w:r>
    </w:p>
    <w:p w:rsidR="00FC26BE" w:rsidRDefault="00FC26BE" w:rsidP="00FC26BE">
      <w:pPr>
        <w:spacing w:line="360" w:lineRule="auto"/>
        <w:jc w:val="both"/>
        <w:rPr>
          <w:rFonts w:ascii="David" w:hAnsi="David"/>
          <w:b/>
          <w:bCs/>
          <w:sz w:val="26"/>
          <w:szCs w:val="26"/>
          <w:u w:val="single"/>
          <w:rtl/>
        </w:rPr>
      </w:pPr>
    </w:p>
    <w:p w:rsidR="00FC26BE" w:rsidRDefault="00FC26BE" w:rsidP="00FC26BE">
      <w:pPr>
        <w:spacing w:line="360" w:lineRule="auto"/>
        <w:jc w:val="both"/>
        <w:rPr>
          <w:rFonts w:ascii="David" w:hAnsi="David"/>
          <w:b/>
          <w:bCs/>
          <w:rtl/>
        </w:rPr>
      </w:pPr>
      <w:r>
        <w:rPr>
          <w:rFonts w:ascii="David" w:hAnsi="David"/>
          <w:b/>
          <w:bCs/>
          <w:sz w:val="26"/>
          <w:szCs w:val="26"/>
          <w:rtl/>
        </w:rPr>
        <w:tab/>
      </w:r>
      <w:r>
        <w:rPr>
          <w:rFonts w:ascii="David" w:hAnsi="David"/>
          <w:b/>
          <w:bCs/>
          <w:rtl/>
        </w:rPr>
        <w:t>הפרדה רכושית:</w:t>
      </w:r>
    </w:p>
    <w:p w:rsidR="00FC26BE" w:rsidRDefault="00FC26BE" w:rsidP="00FC26BE">
      <w:pPr>
        <w:spacing w:line="360" w:lineRule="auto"/>
        <w:jc w:val="both"/>
        <w:rPr>
          <w:rFonts w:ascii="David" w:hAnsi="David"/>
          <w:b/>
          <w:bCs/>
          <w:rtl/>
        </w:rPr>
      </w:pPr>
    </w:p>
    <w:p w:rsidR="00FC26BE" w:rsidRDefault="00FC26BE" w:rsidP="00FC26BE">
      <w:pPr>
        <w:spacing w:line="360" w:lineRule="auto"/>
        <w:ind w:left="720" w:hanging="720"/>
        <w:jc w:val="both"/>
        <w:rPr>
          <w:rFonts w:ascii="David" w:hAnsi="David"/>
          <w:rtl/>
        </w:rPr>
      </w:pPr>
      <w:r>
        <w:rPr>
          <w:rFonts w:ascii="David" w:hAnsi="David"/>
          <w:rtl/>
        </w:rPr>
        <w:t>15.</w:t>
      </w:r>
      <w:r>
        <w:rPr>
          <w:rFonts w:ascii="David" w:hAnsi="David"/>
          <w:rtl/>
        </w:rPr>
        <w:tab/>
        <w:t>על אתר יאמר שטענת האישה לחלוקה לא שוויונית של נכסי הצדדים היא כשלעצמה עומדת בסתירה לטענתה להפרדה רכושית שנהגה בין הצדדים.</w:t>
      </w:r>
    </w:p>
    <w:p w:rsidR="00FC26BE" w:rsidRDefault="00FC26BE" w:rsidP="00FC26BE">
      <w:pPr>
        <w:spacing w:line="360" w:lineRule="auto"/>
        <w:ind w:left="720" w:hanging="720"/>
        <w:jc w:val="both"/>
        <w:rPr>
          <w:rFonts w:ascii="David" w:hAnsi="David"/>
          <w:rtl/>
        </w:rPr>
      </w:pPr>
    </w:p>
    <w:p w:rsidR="00FC26BE" w:rsidRDefault="00FC26BE" w:rsidP="00FC26BE">
      <w:pPr>
        <w:spacing w:line="360" w:lineRule="auto"/>
        <w:ind w:left="720"/>
        <w:jc w:val="both"/>
        <w:rPr>
          <w:rFonts w:ascii="David" w:hAnsi="David"/>
        </w:rPr>
      </w:pPr>
      <w:r>
        <w:rPr>
          <w:rFonts w:ascii="David" w:hAnsi="David"/>
          <w:rtl/>
        </w:rPr>
        <w:t xml:space="preserve">מבלי לגרוע באמור, הצדדים נישאו ביום 17/10/2013 ולכן חל עליהם הסדר איזון משאבים כאמור בסעיף 5 לחוק </w:t>
      </w:r>
      <w:r>
        <w:rPr>
          <w:rFonts w:ascii="David" w:hAnsi="David"/>
          <w:color w:val="000000"/>
          <w:rtl/>
        </w:rPr>
        <w:t xml:space="preserve">יחסי ממון </w:t>
      </w:r>
      <w:r>
        <w:rPr>
          <w:rFonts w:ascii="David" w:hAnsi="David"/>
          <w:rtl/>
        </w:rPr>
        <w:t xml:space="preserve">הקובע </w:t>
      </w:r>
      <w:r>
        <w:rPr>
          <w:rFonts w:ascii="David" w:hAnsi="David"/>
          <w:spacing w:val="6"/>
          <w:rtl/>
        </w:rPr>
        <w:t>שעם התרת הנישואין (או פקיעתם עקב מותו של אחד מבני הזוג) זכאי כל אחד מבני הזוג למחצית שווים של כלל נכסי בני הזוג וזו לשון הסעיף:</w:t>
      </w:r>
    </w:p>
    <w:p w:rsidR="00FC26BE" w:rsidRDefault="00FC26BE" w:rsidP="00FC26BE">
      <w:pPr>
        <w:pStyle w:val="a4"/>
        <w:spacing w:line="360" w:lineRule="auto"/>
        <w:jc w:val="left"/>
        <w:rPr>
          <w:b/>
          <w:bCs/>
          <w:rtl/>
        </w:rPr>
      </w:pPr>
      <w:r>
        <w:rPr>
          <w:rtl/>
        </w:rPr>
        <w:t>"</w:t>
      </w:r>
      <w:r>
        <w:rPr>
          <w:b/>
          <w:bCs/>
          <w:rtl/>
        </w:rPr>
        <w:t>5. הזכות לאיזון בפקיעת הנישואין.</w:t>
      </w:r>
    </w:p>
    <w:p w:rsidR="00FC26BE" w:rsidRDefault="00FC26BE" w:rsidP="00FC26BE">
      <w:pPr>
        <w:pStyle w:val="a4"/>
        <w:spacing w:line="360" w:lineRule="auto"/>
        <w:ind w:left="1440"/>
        <w:jc w:val="left"/>
        <w:rPr>
          <w:b/>
          <w:bCs/>
          <w:rtl/>
        </w:rPr>
      </w:pPr>
      <w:r>
        <w:rPr>
          <w:b/>
          <w:bCs/>
          <w:rtl/>
        </w:rPr>
        <w:t>(א) עם פקיעת הנישואין עקב גירושין או עקב מותו של בן זוג (להלן</w:t>
      </w:r>
      <w:r>
        <w:rPr>
          <w:b/>
          <w:bCs/>
          <w:sz w:val="24"/>
          <w:rtl/>
        </w:rPr>
        <w:t>:</w:t>
      </w:r>
      <w:r>
        <w:rPr>
          <w:b/>
          <w:bCs/>
          <w:rtl/>
        </w:rPr>
        <w:t xml:space="preserve"> פקיעת הנישואין) זכאי כל אחד מבני הזוג למחצית שווים של כלל נכסי בני הזוג למעט -</w:t>
      </w:r>
    </w:p>
    <w:p w:rsidR="00FC26BE" w:rsidRDefault="00FC26BE" w:rsidP="00FC26BE">
      <w:pPr>
        <w:pStyle w:val="a4"/>
        <w:spacing w:line="360" w:lineRule="auto"/>
        <w:ind w:left="1440" w:right="1225"/>
        <w:jc w:val="left"/>
        <w:rPr>
          <w:b/>
          <w:bCs/>
          <w:rtl/>
        </w:rPr>
      </w:pPr>
      <w:r>
        <w:rPr>
          <w:b/>
          <w:bCs/>
          <w:rtl/>
        </w:rPr>
        <w:t>1. נכסים שהיו להם ערב הנישואין או שקיבלו במתנה או בירושה בתקופת הנישואין;</w:t>
      </w:r>
    </w:p>
    <w:p w:rsidR="00FC26BE" w:rsidRDefault="00FC26BE" w:rsidP="00FC26BE">
      <w:pPr>
        <w:pStyle w:val="a4"/>
        <w:spacing w:line="360" w:lineRule="auto"/>
        <w:ind w:left="1440" w:right="1225"/>
        <w:jc w:val="left"/>
        <w:rPr>
          <w:b/>
          <w:bCs/>
          <w:rtl/>
        </w:rPr>
      </w:pPr>
      <w:r>
        <w:rPr>
          <w:b/>
          <w:bCs/>
          <w:rtl/>
        </w:rPr>
        <w:t>2. גימלה המשתלמת לאחד מבני הזוג על ידי המוסד לביטוח לאומי או גימלה או פיצוי שנפסקו או המגיעים על פי חיקוק לאחד מבני הזוג בשל נזק גוף או מוות;</w:t>
      </w:r>
    </w:p>
    <w:p w:rsidR="00FC26BE" w:rsidRDefault="00FC26BE" w:rsidP="00FC26BE">
      <w:pPr>
        <w:pStyle w:val="a4"/>
        <w:spacing w:line="360" w:lineRule="auto"/>
        <w:ind w:right="1225" w:firstLine="589"/>
        <w:jc w:val="left"/>
        <w:rPr>
          <w:rtl/>
        </w:rPr>
      </w:pPr>
      <w:r>
        <w:rPr>
          <w:b/>
          <w:bCs/>
          <w:rtl/>
        </w:rPr>
        <w:t>3. נכסים שבני הזוג הסכימו בכתב ששווים לא יאוזן ביניהם</w:t>
      </w:r>
      <w:r>
        <w:rPr>
          <w:rtl/>
        </w:rPr>
        <w:t>."</w:t>
      </w:r>
    </w:p>
    <w:p w:rsidR="00FC26BE" w:rsidRDefault="00FC26BE" w:rsidP="00FC26BE">
      <w:pPr>
        <w:spacing w:line="360" w:lineRule="auto"/>
        <w:jc w:val="both"/>
        <w:rPr>
          <w:rFonts w:ascii="David" w:hAnsi="David"/>
          <w:rtl/>
        </w:rPr>
      </w:pPr>
    </w:p>
    <w:p w:rsidR="00FC26BE" w:rsidRDefault="00FC26BE" w:rsidP="00351CAC">
      <w:pPr>
        <w:spacing w:line="360" w:lineRule="auto"/>
        <w:ind w:left="720"/>
        <w:jc w:val="both"/>
        <w:rPr>
          <w:rFonts w:ascii="David" w:hAnsi="David"/>
          <w:rtl/>
        </w:rPr>
      </w:pPr>
      <w:r>
        <w:rPr>
          <w:rFonts w:ascii="David" w:hAnsi="David"/>
          <w:rtl/>
        </w:rPr>
        <w:t xml:space="preserve">כזכור, בין הצדדים נחתם הסכם ממון כהגדרתו לעיל. הסכם הממון נחתם לפני נישואיי הצדדים והוא מתייחס רק לדירה אחרת שברשות האישה ברחוב </w:t>
      </w:r>
      <w:r w:rsidR="00351CAC">
        <w:rPr>
          <w:rFonts w:ascii="David" w:hAnsi="David" w:hint="cs"/>
        </w:rPr>
        <w:t>XXX</w:t>
      </w:r>
      <w:r>
        <w:rPr>
          <w:rFonts w:ascii="David" w:hAnsi="David"/>
          <w:rtl/>
        </w:rPr>
        <w:t xml:space="preserve">באילת הרשומה בבעלות האישה ואשר נרכשה לפני הנישואין. בתמצית קובע ההסכם שחרף נישואיי הצדדים הדירה על פירותיה יישארו בבעלות האישה בלבד. </w:t>
      </w:r>
    </w:p>
    <w:p w:rsidR="00FC26BE" w:rsidRDefault="00FC26BE" w:rsidP="00FC26BE">
      <w:pPr>
        <w:spacing w:line="360" w:lineRule="auto"/>
        <w:ind w:left="720"/>
        <w:jc w:val="both"/>
        <w:rPr>
          <w:rFonts w:ascii="David" w:hAnsi="David"/>
          <w:rtl/>
        </w:rPr>
      </w:pPr>
    </w:p>
    <w:p w:rsidR="00FC26BE" w:rsidRDefault="00FC26BE" w:rsidP="00FC26BE">
      <w:pPr>
        <w:spacing w:line="360" w:lineRule="auto"/>
        <w:ind w:left="720"/>
        <w:jc w:val="both"/>
        <w:rPr>
          <w:rFonts w:ascii="David" w:hAnsi="David"/>
          <w:rtl/>
        </w:rPr>
      </w:pPr>
      <w:r>
        <w:rPr>
          <w:rFonts w:ascii="David" w:hAnsi="David"/>
          <w:rtl/>
        </w:rPr>
        <w:t xml:space="preserve">אין בפי הצדדים טענה נגד הסכם הממון, אך הוא חשוב מאוד מבחינת מארג הנסיבות של תיק זה מכמה טעמים: הראשון שבהם הוא שאין בהסכם הממון שחתמו הצדדים כל הוראה ביחס לרצון הצדדים לשמור על הפרדה רכושית לאחר הנישואין פרט לאותה דירה </w:t>
      </w:r>
      <w:r>
        <w:rPr>
          <w:rFonts w:ascii="David" w:hAnsi="David"/>
          <w:rtl/>
        </w:rPr>
        <w:lastRenderedPageBreak/>
        <w:t>נוספת של האישה שנרכשה לפני הנישואין. הטעם השני הוא העובדה שמדובר בצדדים אשר זו להם מערכת זוגית שנייה, פרק ב', אשר כבר חתמו על הסכם ממון וחזקה שהם מבינים את כוחו, משמעותו ונחיצותו  של הסכם הממון במקרים מסוימים. (יוער שבדיון מיום 24/5/21 ב-</w:t>
      </w:r>
      <w:r>
        <w:rPr>
          <w:rFonts w:ascii="David" w:hAnsi="David"/>
          <w:u w:val="single"/>
          <w:rtl/>
        </w:rPr>
        <w:t xml:space="preserve">תלה"מ 21684-01-19 </w:t>
      </w:r>
      <w:r>
        <w:rPr>
          <w:rFonts w:ascii="David" w:hAnsi="David"/>
          <w:rtl/>
        </w:rPr>
        <w:t>בעמ' 61 ש' 35 כאשר נשאלה האישה אם הבינה מהו הסכם ממון השיבה בשלילה  אבל מיד לאחר מכן תיקנה תשובתה). בנסיבות העניין ובשים לב שאין מחלוקת בין הצדדים שהחתונה כמעט בוטלה בשל התנגדותו הראשונית של האיש לחתום על הסכם ממון, אני קובע שהצדדים הבינו משמעותו של הסכם ממון ואילו רצו ליצור הפרדה רכושית היו עורכים הסכם ממון בהתאם מה שלא נעשה (עדות האיש מיום 2/6/20 פרוט' ב-</w:t>
      </w:r>
      <w:r>
        <w:rPr>
          <w:rFonts w:ascii="David" w:hAnsi="David"/>
          <w:u w:val="single"/>
          <w:rtl/>
        </w:rPr>
        <w:t xml:space="preserve">תלה"מ 21684-01-19 </w:t>
      </w:r>
      <w:r>
        <w:rPr>
          <w:rFonts w:ascii="David" w:hAnsi="David"/>
          <w:rtl/>
        </w:rPr>
        <w:t xml:space="preserve">בעמ' 26, ש' 1-6; עדות האישה מיום 24/5/21 באותו תיק, בעמ' 61 ש' 12-18; סעיף 5 לתביעת האיש וסעיפים 29-32 לתביעת האישה). גם מבחינת התנהגות הצדדים לא התנהלו הם כמי שמקיימים הפרדה רכושית ונראה שטענת האישה להפרדה רכושית (סעיף 53 להגנת האישה בתביעת האיש)  נטענה בעלמא כאשר במסגרת ההליך לא רק שלא הוכחה נהפוך הוא. </w:t>
      </w:r>
    </w:p>
    <w:p w:rsidR="00FC26BE" w:rsidRDefault="00FC26BE" w:rsidP="00FC26BE">
      <w:pPr>
        <w:spacing w:line="360" w:lineRule="auto"/>
        <w:ind w:left="720"/>
        <w:jc w:val="both"/>
        <w:rPr>
          <w:rFonts w:ascii="David" w:hAnsi="David"/>
          <w:rtl/>
        </w:rPr>
      </w:pPr>
    </w:p>
    <w:p w:rsidR="00FC26BE" w:rsidRDefault="00FC26BE" w:rsidP="00FC26BE">
      <w:pPr>
        <w:spacing w:line="360" w:lineRule="auto"/>
        <w:ind w:left="720"/>
        <w:jc w:val="both"/>
        <w:rPr>
          <w:rFonts w:ascii="David" w:hAnsi="David"/>
        </w:rPr>
      </w:pPr>
      <w:r>
        <w:rPr>
          <w:rFonts w:ascii="David" w:hAnsi="David"/>
          <w:rtl/>
        </w:rPr>
        <w:t>אי קיומה של הפרדה רכושית עולה מכתב התביעה שלה עצמה. בתביעתה לא טענה מפורשות אותה הפרדה רכושית נטענת. התמונה העולה מתביעת האישה היא הפוכה, תמונה של שיתוף אשר בסופו של יום התברר כ"בדיה" כלשונה. טול למשל את סעיף 70 לכתב תביעת האישה בו נטען "</w:t>
      </w:r>
      <w:r>
        <w:rPr>
          <w:rFonts w:ascii="David" w:hAnsi="David"/>
          <w:b/>
          <w:bCs/>
          <w:rtl/>
        </w:rPr>
        <w:t>לתובעת זכות איזון בכל נכסי בני הזוג כולל הכספים אשר נכנסו לבנק יהב שכן אלו כספי העסק המשותף</w:t>
      </w:r>
      <w:r>
        <w:rPr>
          <w:rFonts w:ascii="David" w:hAnsi="David"/>
          <w:rtl/>
        </w:rPr>
        <w:t xml:space="preserve"> ..." וטול למשל סעיף 73 לאותו כתב ההגנה של האישה בתביעת האיש בו עתרה לחלוקה לא שוויונית מכוח סעיף 8(2)  לחוק יחסי ממון שהיא טענה הפוכה לטענה להפרדה רכושית. כך גם בסעיפים 105, 107, 123 ו- 130 לכתב ההגנה שם התייחסה האישה לצורך באיזון הכספים של הצדדים במהלך חיי הנישואין. </w:t>
      </w:r>
    </w:p>
    <w:p w:rsidR="00FC26BE" w:rsidRDefault="00FC26BE" w:rsidP="00FC26BE">
      <w:pPr>
        <w:spacing w:line="360" w:lineRule="auto"/>
        <w:ind w:left="720"/>
        <w:jc w:val="both"/>
        <w:rPr>
          <w:rFonts w:ascii="David" w:hAnsi="David"/>
          <w:rtl/>
        </w:rPr>
      </w:pPr>
    </w:p>
    <w:p w:rsidR="00FC26BE" w:rsidRDefault="00FC26BE" w:rsidP="00FC26BE">
      <w:pPr>
        <w:spacing w:line="360" w:lineRule="auto"/>
        <w:ind w:left="720"/>
        <w:jc w:val="both"/>
        <w:rPr>
          <w:rFonts w:ascii="David" w:hAnsi="David"/>
          <w:rtl/>
        </w:rPr>
      </w:pPr>
      <w:r>
        <w:rPr>
          <w:rFonts w:ascii="David" w:hAnsi="David"/>
          <w:rtl/>
        </w:rPr>
        <w:t>אם בכך לא די הדברים עולים גם מעדותה של האישה מיום 9/2/22 ב</w:t>
      </w:r>
      <w:r>
        <w:rPr>
          <w:rFonts w:ascii="David" w:hAnsi="David"/>
          <w:u w:val="single"/>
          <w:rtl/>
        </w:rPr>
        <w:t>-תלה"מ 61437-05-19</w:t>
      </w:r>
      <w:r>
        <w:rPr>
          <w:rFonts w:ascii="David" w:hAnsi="David"/>
          <w:rtl/>
        </w:rPr>
        <w:t>, בעמ' 17 ש' 26-27 כאשר אשרה דבר קיומו של חשבון בנק משותף:</w:t>
      </w:r>
    </w:p>
    <w:p w:rsidR="00FC26BE" w:rsidRDefault="00FC26BE" w:rsidP="00FC26BE">
      <w:pPr>
        <w:spacing w:line="360" w:lineRule="auto"/>
        <w:ind w:left="720"/>
        <w:jc w:val="both"/>
        <w:rPr>
          <w:rFonts w:ascii="David" w:hAnsi="David"/>
          <w:rtl/>
        </w:rPr>
      </w:pPr>
    </w:p>
    <w:p w:rsidR="00FC26BE" w:rsidRDefault="00FC26BE" w:rsidP="00351CAC">
      <w:pPr>
        <w:tabs>
          <w:tab w:val="left" w:pos="397"/>
        </w:tabs>
        <w:spacing w:line="360" w:lineRule="auto"/>
        <w:jc w:val="both"/>
        <w:rPr>
          <w:rFonts w:ascii="David" w:hAnsi="David"/>
          <w:b/>
          <w:bCs/>
        </w:rPr>
      </w:pPr>
      <w:r>
        <w:rPr>
          <w:rFonts w:ascii="David" w:hAnsi="David"/>
          <w:rtl/>
        </w:rPr>
        <w:tab/>
      </w:r>
      <w:r>
        <w:rPr>
          <w:rFonts w:ascii="David" w:hAnsi="David"/>
          <w:b/>
          <w:bCs/>
          <w:rtl/>
        </w:rPr>
        <w:tab/>
        <w:t>"ש.</w:t>
      </w:r>
      <w:r>
        <w:rPr>
          <w:rFonts w:ascii="David" w:hAnsi="David"/>
          <w:b/>
          <w:bCs/>
          <w:rtl/>
        </w:rPr>
        <w:tab/>
        <w:t>זאת אומרת שהחשבון בנק המשותף הוא גם החשבון של א</w:t>
      </w:r>
      <w:r w:rsidR="00351CAC">
        <w:rPr>
          <w:rFonts w:ascii="David" w:hAnsi="David" w:hint="cs"/>
          <w:b/>
          <w:bCs/>
          <w:rtl/>
        </w:rPr>
        <w:t>.</w:t>
      </w:r>
      <w:r>
        <w:rPr>
          <w:rFonts w:ascii="David" w:hAnsi="David"/>
          <w:b/>
          <w:bCs/>
          <w:rtl/>
        </w:rPr>
        <w:t>?</w:t>
      </w:r>
    </w:p>
    <w:p w:rsidR="00FC26BE" w:rsidRDefault="00FC26BE" w:rsidP="00FC26BE">
      <w:pPr>
        <w:tabs>
          <w:tab w:val="left" w:pos="397"/>
        </w:tabs>
        <w:spacing w:line="360" w:lineRule="auto"/>
        <w:jc w:val="both"/>
        <w:rPr>
          <w:rFonts w:ascii="David" w:hAnsi="David"/>
          <w:b/>
          <w:bCs/>
          <w:rtl/>
        </w:rPr>
      </w:pPr>
      <w:r>
        <w:rPr>
          <w:rFonts w:ascii="David" w:hAnsi="David"/>
          <w:b/>
          <w:bCs/>
          <w:rtl/>
        </w:rPr>
        <w:tab/>
      </w:r>
      <w:r>
        <w:rPr>
          <w:rFonts w:ascii="David" w:hAnsi="David"/>
          <w:b/>
          <w:bCs/>
          <w:rtl/>
        </w:rPr>
        <w:tab/>
        <w:t xml:space="preserve"> ת.</w:t>
      </w:r>
      <w:r>
        <w:rPr>
          <w:rFonts w:ascii="David" w:hAnsi="David"/>
          <w:b/>
          <w:bCs/>
          <w:rtl/>
        </w:rPr>
        <w:tab/>
        <w:t>נכון."</w:t>
      </w:r>
    </w:p>
    <w:p w:rsidR="00FC26BE" w:rsidRDefault="00FC26BE" w:rsidP="00FC26BE">
      <w:pPr>
        <w:tabs>
          <w:tab w:val="left" w:pos="397"/>
        </w:tabs>
        <w:spacing w:line="360" w:lineRule="auto"/>
        <w:jc w:val="both"/>
        <w:rPr>
          <w:rFonts w:ascii="David" w:hAnsi="David"/>
          <w:b/>
          <w:bCs/>
          <w:rtl/>
        </w:rPr>
      </w:pPr>
    </w:p>
    <w:p w:rsidR="00FC26BE" w:rsidRDefault="00FC26BE" w:rsidP="00FC26BE">
      <w:pPr>
        <w:tabs>
          <w:tab w:val="left" w:pos="397"/>
        </w:tabs>
        <w:spacing w:line="360" w:lineRule="auto"/>
        <w:jc w:val="both"/>
        <w:rPr>
          <w:rFonts w:ascii="David" w:hAnsi="David"/>
        </w:rPr>
      </w:pPr>
      <w:r>
        <w:rPr>
          <w:rFonts w:ascii="David" w:hAnsi="David"/>
          <w:b/>
          <w:bCs/>
          <w:rtl/>
        </w:rPr>
        <w:tab/>
      </w:r>
      <w:r>
        <w:rPr>
          <w:rFonts w:ascii="David" w:hAnsi="David"/>
          <w:b/>
          <w:bCs/>
          <w:rtl/>
        </w:rPr>
        <w:tab/>
      </w:r>
      <w:r>
        <w:rPr>
          <w:rFonts w:ascii="David" w:hAnsi="David"/>
          <w:rtl/>
        </w:rPr>
        <w:t>וכך גם בעמ' 18, ש' 11-15:</w:t>
      </w:r>
    </w:p>
    <w:p w:rsidR="00FC26BE" w:rsidRDefault="00FC26BE" w:rsidP="00FC26BE">
      <w:pPr>
        <w:tabs>
          <w:tab w:val="left" w:pos="397"/>
        </w:tabs>
        <w:spacing w:line="360" w:lineRule="auto"/>
        <w:jc w:val="both"/>
        <w:rPr>
          <w:rFonts w:ascii="David" w:hAnsi="David"/>
          <w:rtl/>
        </w:rPr>
      </w:pPr>
    </w:p>
    <w:p w:rsidR="00FC26BE" w:rsidRDefault="00FC26BE" w:rsidP="00351CAC">
      <w:pPr>
        <w:tabs>
          <w:tab w:val="left" w:pos="397"/>
        </w:tabs>
        <w:spacing w:line="360" w:lineRule="auto"/>
        <w:ind w:left="720" w:hanging="720"/>
        <w:jc w:val="both"/>
        <w:rPr>
          <w:rFonts w:ascii="David" w:hAnsi="David"/>
          <w:b/>
          <w:bCs/>
          <w:rtl/>
        </w:rPr>
      </w:pPr>
      <w:r>
        <w:rPr>
          <w:rFonts w:ascii="David" w:hAnsi="David"/>
          <w:b/>
          <w:bCs/>
          <w:rtl/>
        </w:rPr>
        <w:tab/>
      </w:r>
      <w:r>
        <w:rPr>
          <w:rFonts w:ascii="David" w:hAnsi="David"/>
          <w:b/>
          <w:bCs/>
          <w:rtl/>
        </w:rPr>
        <w:tab/>
        <w:t>"ש.</w:t>
      </w:r>
      <w:r>
        <w:rPr>
          <w:rFonts w:ascii="David" w:hAnsi="David"/>
          <w:b/>
          <w:bCs/>
          <w:rtl/>
        </w:rPr>
        <w:tab/>
        <w:t>תאשרי לי שנכון שכשלקחת משכנתא לרכישת הבית, הבנק חייב אותך להצטרף לחשבון של א</w:t>
      </w:r>
      <w:r w:rsidR="00351CAC">
        <w:rPr>
          <w:rFonts w:ascii="David" w:hAnsi="David" w:hint="cs"/>
          <w:b/>
          <w:bCs/>
          <w:rtl/>
        </w:rPr>
        <w:t>.</w:t>
      </w:r>
      <w:r>
        <w:rPr>
          <w:rFonts w:ascii="David" w:hAnsi="David"/>
          <w:b/>
          <w:bCs/>
          <w:rtl/>
        </w:rPr>
        <w:t>?</w:t>
      </w:r>
    </w:p>
    <w:p w:rsidR="00FC26BE" w:rsidRDefault="00FC26BE" w:rsidP="00FC26BE">
      <w:pPr>
        <w:tabs>
          <w:tab w:val="left" w:pos="397"/>
        </w:tabs>
        <w:spacing w:line="360" w:lineRule="auto"/>
        <w:jc w:val="both"/>
        <w:rPr>
          <w:rFonts w:ascii="David" w:hAnsi="David"/>
          <w:b/>
          <w:bCs/>
          <w:rtl/>
        </w:rPr>
      </w:pPr>
      <w:r>
        <w:rPr>
          <w:rFonts w:ascii="David" w:hAnsi="David"/>
          <w:b/>
          <w:bCs/>
          <w:rtl/>
        </w:rPr>
        <w:tab/>
      </w:r>
      <w:r>
        <w:rPr>
          <w:rFonts w:ascii="David" w:hAnsi="David"/>
          <w:b/>
          <w:bCs/>
          <w:rtl/>
        </w:rPr>
        <w:tab/>
        <w:t>ת.</w:t>
      </w:r>
      <w:r>
        <w:rPr>
          <w:rFonts w:ascii="David" w:hAnsi="David"/>
          <w:b/>
          <w:bCs/>
          <w:rtl/>
        </w:rPr>
        <w:tab/>
        <w:t>לא, פתחנו את זה עוד לפני.</w:t>
      </w:r>
    </w:p>
    <w:p w:rsidR="00FC26BE" w:rsidRDefault="00FC26BE" w:rsidP="00351CAC">
      <w:pPr>
        <w:tabs>
          <w:tab w:val="left" w:pos="397"/>
        </w:tabs>
        <w:spacing w:line="360" w:lineRule="auto"/>
        <w:ind w:left="720" w:hanging="720"/>
        <w:jc w:val="both"/>
        <w:rPr>
          <w:rFonts w:ascii="David" w:hAnsi="David"/>
          <w:b/>
          <w:bCs/>
        </w:rPr>
      </w:pPr>
      <w:r>
        <w:rPr>
          <w:rFonts w:ascii="David" w:hAnsi="David"/>
          <w:b/>
          <w:bCs/>
          <w:rtl/>
        </w:rPr>
        <w:tab/>
      </w:r>
      <w:r>
        <w:rPr>
          <w:rFonts w:ascii="David" w:hAnsi="David"/>
          <w:b/>
          <w:bCs/>
          <w:rtl/>
        </w:rPr>
        <w:tab/>
        <w:t>ש.</w:t>
      </w:r>
      <w:r>
        <w:rPr>
          <w:rFonts w:ascii="David" w:hAnsi="David"/>
          <w:b/>
          <w:bCs/>
          <w:rtl/>
        </w:rPr>
        <w:tab/>
        <w:t>אם אני אסתכל על מועד לקיחת המשכנתא לבית, המשכנתא נלקחה על שמך ועל עם א</w:t>
      </w:r>
      <w:r w:rsidR="00351CAC">
        <w:rPr>
          <w:rFonts w:ascii="David" w:hAnsi="David" w:hint="cs"/>
          <w:b/>
          <w:bCs/>
          <w:rtl/>
        </w:rPr>
        <w:t>.</w:t>
      </w:r>
      <w:r>
        <w:rPr>
          <w:rFonts w:ascii="David" w:hAnsi="David"/>
          <w:b/>
          <w:bCs/>
          <w:rtl/>
        </w:rPr>
        <w:t xml:space="preserve"> נכון?</w:t>
      </w:r>
    </w:p>
    <w:p w:rsidR="00FC26BE" w:rsidRDefault="00FC26BE" w:rsidP="00FC26BE">
      <w:pPr>
        <w:tabs>
          <w:tab w:val="left" w:pos="397"/>
        </w:tabs>
        <w:spacing w:line="360" w:lineRule="auto"/>
        <w:jc w:val="both"/>
        <w:rPr>
          <w:rFonts w:ascii="David" w:hAnsi="David"/>
          <w:b/>
          <w:bCs/>
          <w:rtl/>
        </w:rPr>
      </w:pPr>
      <w:r>
        <w:rPr>
          <w:rFonts w:ascii="David" w:hAnsi="David"/>
          <w:b/>
          <w:bCs/>
          <w:rtl/>
        </w:rPr>
        <w:tab/>
      </w:r>
      <w:r>
        <w:rPr>
          <w:rFonts w:ascii="David" w:hAnsi="David"/>
          <w:b/>
          <w:bCs/>
          <w:rtl/>
        </w:rPr>
        <w:tab/>
        <w:t>ת.</w:t>
      </w:r>
      <w:r>
        <w:rPr>
          <w:rFonts w:ascii="David" w:hAnsi="David"/>
          <w:b/>
          <w:bCs/>
          <w:rtl/>
        </w:rPr>
        <w:tab/>
        <w:t>כן."</w:t>
      </w:r>
    </w:p>
    <w:p w:rsidR="00FC26BE" w:rsidRDefault="00FC26BE" w:rsidP="00FC26BE">
      <w:pPr>
        <w:tabs>
          <w:tab w:val="left" w:pos="397"/>
        </w:tabs>
        <w:spacing w:line="360" w:lineRule="auto"/>
        <w:jc w:val="both"/>
        <w:rPr>
          <w:rFonts w:ascii="David" w:hAnsi="David"/>
          <w:b/>
          <w:bCs/>
          <w:rtl/>
        </w:rPr>
      </w:pPr>
    </w:p>
    <w:p w:rsidR="00FC26BE" w:rsidRDefault="00FC26BE" w:rsidP="00FC26BE">
      <w:pPr>
        <w:spacing w:line="360" w:lineRule="auto"/>
        <w:ind w:left="714" w:hanging="630"/>
        <w:jc w:val="both"/>
        <w:rPr>
          <w:rFonts w:ascii="David" w:hAnsi="David"/>
          <w:rtl/>
        </w:rPr>
      </w:pPr>
      <w:r>
        <w:rPr>
          <w:rFonts w:ascii="David" w:hAnsi="David"/>
          <w:rtl/>
        </w:rPr>
        <w:lastRenderedPageBreak/>
        <w:t>16.</w:t>
      </w:r>
      <w:r>
        <w:rPr>
          <w:rFonts w:ascii="David" w:hAnsi="David"/>
          <w:rtl/>
        </w:rPr>
        <w:tab/>
        <w:t>לאורם של דברים אלו, אני קובע שבין הצדדים לא נהגה הפרדה רכושית וטענת האישה בהקשר זה נדחית.</w:t>
      </w:r>
    </w:p>
    <w:p w:rsidR="00FC26BE" w:rsidRDefault="00FC26BE" w:rsidP="00FC26BE">
      <w:pPr>
        <w:spacing w:line="360" w:lineRule="auto"/>
        <w:ind w:left="714" w:hanging="630"/>
        <w:jc w:val="both"/>
        <w:rPr>
          <w:rFonts w:ascii="David" w:hAnsi="David"/>
          <w:rtl/>
        </w:rPr>
      </w:pPr>
    </w:p>
    <w:p w:rsidR="00FC26BE" w:rsidRDefault="00FC26BE" w:rsidP="00FC26BE">
      <w:pPr>
        <w:spacing w:line="360" w:lineRule="auto"/>
        <w:ind w:firstLine="714"/>
        <w:jc w:val="both"/>
        <w:rPr>
          <w:rFonts w:ascii="David" w:hAnsi="David"/>
          <w:b/>
          <w:bCs/>
          <w:rtl/>
        </w:rPr>
      </w:pPr>
      <w:r>
        <w:rPr>
          <w:rFonts w:ascii="David" w:hAnsi="David"/>
          <w:b/>
          <w:bCs/>
          <w:rtl/>
        </w:rPr>
        <w:t>הדירה:</w:t>
      </w:r>
    </w:p>
    <w:p w:rsidR="00FC26BE" w:rsidRDefault="00FC26BE" w:rsidP="00FC26BE">
      <w:pPr>
        <w:spacing w:line="360" w:lineRule="auto"/>
        <w:ind w:firstLine="714"/>
        <w:jc w:val="both"/>
        <w:rPr>
          <w:rFonts w:ascii="David" w:hAnsi="David"/>
          <w:b/>
          <w:bCs/>
          <w:rtl/>
        </w:rPr>
      </w:pPr>
    </w:p>
    <w:p w:rsidR="00FC26BE" w:rsidRDefault="00FC26BE" w:rsidP="00FC26BE">
      <w:pPr>
        <w:spacing w:line="360" w:lineRule="auto"/>
        <w:ind w:left="714" w:hanging="714"/>
        <w:jc w:val="both"/>
        <w:rPr>
          <w:rFonts w:ascii="David" w:hAnsi="David"/>
          <w:rtl/>
        </w:rPr>
      </w:pPr>
      <w:r>
        <w:rPr>
          <w:rFonts w:ascii="David" w:hAnsi="David"/>
          <w:rtl/>
        </w:rPr>
        <w:t>17.</w:t>
      </w:r>
      <w:r>
        <w:rPr>
          <w:rFonts w:ascii="David" w:hAnsi="David"/>
          <w:rtl/>
        </w:rPr>
        <w:tab/>
        <w:t xml:space="preserve">כזכור על פי טענת האישה  על אף רישום הזכויות בדירה על שם הצדדים בחלקים שווים בפועל היה ידוע להם שהדירה רק שלה. עמדה זו נדחתה על ידי האיש. למעשה מבקשת האישה לבטל את הרישום. בסוגיה זו ראוי לבחון שני היבטים:  מה כוחו של הרישום ומה המשמעות של בחירתם של הצדדים לרשום את הדירה בבעלות משותפת, בהינתן שאין מחלוקת שההון העצמי ששימש לרכישת הדירה הגיע ממקורותיה של האישה. </w:t>
      </w:r>
    </w:p>
    <w:p w:rsidR="00FC26BE" w:rsidRDefault="00FC26BE" w:rsidP="00FC26BE">
      <w:pPr>
        <w:spacing w:line="360" w:lineRule="auto"/>
        <w:ind w:left="714" w:hanging="714"/>
        <w:jc w:val="both"/>
        <w:rPr>
          <w:rFonts w:ascii="David" w:hAnsi="David"/>
          <w:rtl/>
        </w:rPr>
      </w:pPr>
    </w:p>
    <w:p w:rsidR="00FC26BE" w:rsidRDefault="00FC26BE" w:rsidP="00FC26BE">
      <w:pPr>
        <w:spacing w:line="360" w:lineRule="auto"/>
        <w:ind w:left="714" w:hanging="714"/>
        <w:jc w:val="both"/>
        <w:rPr>
          <w:rFonts w:ascii="David" w:hAnsi="David"/>
          <w:rtl/>
        </w:rPr>
      </w:pPr>
      <w:r>
        <w:rPr>
          <w:rFonts w:ascii="David" w:hAnsi="David"/>
          <w:rtl/>
        </w:rPr>
        <w:t>18.</w:t>
      </w:r>
      <w:r>
        <w:rPr>
          <w:rFonts w:ascii="David" w:hAnsi="David"/>
          <w:rtl/>
        </w:rPr>
        <w:tab/>
        <w:t>אין מחלוקת שהרישום משקף את הזכויות בדירה. סעיף 125(א) לחוק המקרקעין שכותרתו "כוח ההוכחה של רישום", הקובע:</w:t>
      </w:r>
    </w:p>
    <w:p w:rsidR="00FC26BE" w:rsidRDefault="00FC26BE" w:rsidP="00FC26BE">
      <w:pPr>
        <w:spacing w:line="360" w:lineRule="auto"/>
        <w:ind w:left="714" w:hanging="714"/>
        <w:jc w:val="both"/>
        <w:rPr>
          <w:rFonts w:ascii="David" w:hAnsi="David"/>
          <w:rtl/>
        </w:rPr>
      </w:pPr>
    </w:p>
    <w:p w:rsidR="00FC26BE" w:rsidRDefault="00FC26BE" w:rsidP="00FC26BE">
      <w:pPr>
        <w:spacing w:line="360" w:lineRule="auto"/>
        <w:ind w:left="720"/>
        <w:jc w:val="both"/>
        <w:rPr>
          <w:rFonts w:ascii="David" w:hAnsi="David"/>
          <w:b/>
          <w:bCs/>
        </w:rPr>
      </w:pPr>
      <w:r>
        <w:rPr>
          <w:rFonts w:ascii="David" w:hAnsi="David"/>
          <w:b/>
          <w:bCs/>
          <w:rtl/>
        </w:rPr>
        <w:t xml:space="preserve">"רישום בפנקסים לגבי מקרקעין מוסדרים יהווה ראיה חותכת לתוכנו, אולם אין בכך כדי לגרוע מהוראות סעיף 93 עד 97 </w:t>
      </w:r>
      <w:r>
        <w:rPr>
          <w:rFonts w:ascii="David" w:hAnsi="David"/>
          <w:b/>
          <w:bCs/>
          <w:u w:val="single"/>
          <w:rtl/>
        </w:rPr>
        <w:t>לפקודת הסדר זכויות במקרקעין</w:t>
      </w:r>
      <w:r>
        <w:rPr>
          <w:rFonts w:ascii="David" w:hAnsi="David"/>
          <w:b/>
          <w:bCs/>
          <w:rtl/>
        </w:rPr>
        <w:t xml:space="preserve"> [נוסח חדש], התשכ"ט-1969."</w:t>
      </w:r>
    </w:p>
    <w:p w:rsidR="00FC26BE" w:rsidRDefault="00FC26BE" w:rsidP="00FC26BE">
      <w:pPr>
        <w:spacing w:line="360" w:lineRule="auto"/>
        <w:ind w:left="720"/>
        <w:jc w:val="both"/>
        <w:rPr>
          <w:rFonts w:ascii="David" w:hAnsi="David"/>
        </w:rPr>
      </w:pPr>
      <w:r>
        <w:rPr>
          <w:rFonts w:ascii="David" w:hAnsi="David"/>
          <w:b/>
          <w:bCs/>
          <w:rtl/>
        </w:rPr>
        <w:br/>
      </w:r>
      <w:r>
        <w:rPr>
          <w:rFonts w:ascii="David" w:hAnsi="David"/>
          <w:rtl/>
        </w:rPr>
        <w:t>על חשיבותו של הרישום בפנקסי המקרקעין מבחינה קניינית נפסק לא אחת והנחת המוצא היא שהרישום משקף נכונה את מצב הדברים לאשורם  (</w:t>
      </w:r>
      <w:r>
        <w:rPr>
          <w:rFonts w:ascii="David" w:hAnsi="David"/>
          <w:u w:val="single"/>
          <w:rtl/>
        </w:rPr>
        <w:t xml:space="preserve">ע"א 4140/97 </w:t>
      </w:r>
      <w:r>
        <w:rPr>
          <w:rFonts w:ascii="David" w:hAnsi="David"/>
          <w:b/>
          <w:bCs/>
          <w:rtl/>
        </w:rPr>
        <w:t xml:space="preserve">חברת האוניברסיטה העברית בירושלים </w:t>
      </w:r>
      <w:r>
        <w:rPr>
          <w:rFonts w:ascii="David" w:hAnsi="David"/>
          <w:rtl/>
        </w:rPr>
        <w:t xml:space="preserve">נ' </w:t>
      </w:r>
      <w:r>
        <w:rPr>
          <w:rFonts w:ascii="David" w:hAnsi="David"/>
          <w:b/>
          <w:bCs/>
          <w:rtl/>
        </w:rPr>
        <w:t>הסתדרות נשים ציונית הדסה באמריקה אינק</w:t>
      </w:r>
      <w:r>
        <w:rPr>
          <w:rFonts w:ascii="David" w:hAnsi="David"/>
          <w:rtl/>
        </w:rPr>
        <w:t>, פ"ד נג (3) (1999) פסקה 11).</w:t>
      </w:r>
    </w:p>
    <w:p w:rsidR="00FC26BE" w:rsidRDefault="00FC26BE" w:rsidP="00FC26BE">
      <w:pPr>
        <w:spacing w:line="360" w:lineRule="auto"/>
        <w:ind w:left="720"/>
        <w:jc w:val="both"/>
        <w:rPr>
          <w:rFonts w:ascii="David" w:hAnsi="David"/>
          <w:rtl/>
        </w:rPr>
      </w:pPr>
    </w:p>
    <w:p w:rsidR="00FC26BE" w:rsidRDefault="00FC26BE" w:rsidP="00FC26BE">
      <w:pPr>
        <w:spacing w:line="360" w:lineRule="auto"/>
        <w:ind w:left="720"/>
        <w:jc w:val="both"/>
        <w:rPr>
          <w:rFonts w:ascii="David" w:hAnsi="David"/>
          <w:color w:val="000000"/>
          <w:rtl/>
        </w:rPr>
      </w:pPr>
      <w:r>
        <w:rPr>
          <w:rFonts w:ascii="David" w:hAnsi="David"/>
          <w:color w:val="000000"/>
          <w:rtl/>
        </w:rPr>
        <w:t xml:space="preserve">בדין הכללי החזקה (שניתנת לסתירה) היא שמטרתו של הרישום להגן על הציבור: זה יוכל להסתמך על הרישום ולדעת שהוא משקף נאמנה את הזכויות בנכס. בשל חשיבות מידע זה לציבור/לכלל המבקש להפריך את אותה חזקה נדרש להוכיח באופן שאינו משתמע לשתי פנים על אפשרות שונה </w:t>
      </w:r>
      <w:r>
        <w:rPr>
          <w:rFonts w:ascii="David" w:hAnsi="David"/>
          <w:rtl/>
        </w:rPr>
        <w:t>מהעולה מהמרשם ומדובר בנטל כבד (</w:t>
      </w:r>
      <w:r>
        <w:rPr>
          <w:rFonts w:ascii="David" w:hAnsi="David"/>
          <w:u w:val="single"/>
          <w:rtl/>
        </w:rPr>
        <w:t>ע"א 2576/03</w:t>
      </w:r>
      <w:r>
        <w:rPr>
          <w:rFonts w:ascii="David" w:hAnsi="David"/>
          <w:rtl/>
        </w:rPr>
        <w:t xml:space="preserve"> </w:t>
      </w:r>
      <w:r>
        <w:rPr>
          <w:rFonts w:ascii="David" w:hAnsi="David"/>
          <w:b/>
          <w:bCs/>
          <w:rtl/>
        </w:rPr>
        <w:t xml:space="preserve">אהובה וינברג </w:t>
      </w:r>
      <w:r>
        <w:rPr>
          <w:rFonts w:ascii="David" w:hAnsi="David"/>
          <w:rtl/>
        </w:rPr>
        <w:t>נ'</w:t>
      </w:r>
      <w:r>
        <w:rPr>
          <w:rFonts w:ascii="David" w:hAnsi="David"/>
          <w:b/>
          <w:bCs/>
          <w:rtl/>
        </w:rPr>
        <w:t xml:space="preserve"> האפוטרופוס הכללי לנכסי נפקדים </w:t>
      </w:r>
      <w:r>
        <w:rPr>
          <w:rFonts w:ascii="David" w:hAnsi="David"/>
          <w:rtl/>
        </w:rPr>
        <w:t xml:space="preserve">(21/2/2007) ס' 37 לפסק הדין; </w:t>
      </w:r>
      <w:r>
        <w:rPr>
          <w:rFonts w:ascii="David" w:hAnsi="David"/>
          <w:color w:val="000000"/>
          <w:u w:val="single"/>
          <w:rtl/>
        </w:rPr>
        <w:t xml:space="preserve">ע"א 66/88 </w:t>
      </w:r>
      <w:r>
        <w:rPr>
          <w:rFonts w:ascii="David" w:hAnsi="David"/>
          <w:b/>
          <w:bCs/>
          <w:color w:val="000000"/>
          <w:rtl/>
        </w:rPr>
        <w:t xml:space="preserve">דקר </w:t>
      </w:r>
      <w:r>
        <w:rPr>
          <w:rFonts w:ascii="David" w:hAnsi="David"/>
          <w:color w:val="000000"/>
          <w:rtl/>
        </w:rPr>
        <w:t>נ'</w:t>
      </w:r>
      <w:r>
        <w:rPr>
          <w:rFonts w:ascii="David" w:hAnsi="David"/>
          <w:b/>
          <w:bCs/>
          <w:color w:val="000000"/>
          <w:rtl/>
        </w:rPr>
        <w:t xml:space="preserve"> דקר, </w:t>
      </w:r>
      <w:r>
        <w:rPr>
          <w:rFonts w:ascii="David" w:hAnsi="David"/>
          <w:color w:val="000000"/>
          <w:rtl/>
        </w:rPr>
        <w:t>פ"ד מג(1) 122, (26/3/89) עמ' 127).</w:t>
      </w:r>
    </w:p>
    <w:p w:rsidR="00FC26BE" w:rsidRDefault="00FC26BE" w:rsidP="00FC26BE">
      <w:pPr>
        <w:spacing w:line="360" w:lineRule="auto"/>
        <w:ind w:left="720" w:hanging="720"/>
        <w:jc w:val="both"/>
        <w:rPr>
          <w:rFonts w:ascii="David" w:hAnsi="David"/>
          <w:color w:val="000000"/>
        </w:rPr>
      </w:pPr>
    </w:p>
    <w:p w:rsidR="00FC26BE" w:rsidRDefault="00FC26BE" w:rsidP="00FC26BE">
      <w:pPr>
        <w:spacing w:line="360" w:lineRule="auto"/>
        <w:ind w:left="720" w:hanging="720"/>
        <w:jc w:val="both"/>
        <w:rPr>
          <w:rFonts w:ascii="David" w:hAnsi="David"/>
          <w:color w:val="000000"/>
          <w:rtl/>
        </w:rPr>
      </w:pPr>
      <w:r>
        <w:rPr>
          <w:rFonts w:ascii="David" w:hAnsi="David"/>
          <w:color w:val="000000"/>
          <w:rtl/>
        </w:rPr>
        <w:t>19.</w:t>
      </w:r>
      <w:r>
        <w:rPr>
          <w:rFonts w:ascii="David" w:hAnsi="David"/>
          <w:color w:val="000000"/>
          <w:rtl/>
        </w:rPr>
        <w:tab/>
        <w:t xml:space="preserve">בענייננו  פרט לטענה המוסכמת על הצדדים לפיה האישה שילמה את ההון העצמי האישה לא הרימה את הנטל להוכיח שהרישום אינו משקף נאמנה את המציאות. כפי שנקבע בפסיקה משנרשמה הבעלות במשותף אין מקום להתחקות אחר המקורות הכספיים. לכך יש להוסיף את מארג הנסיבות, וביניהן העדר חתימה על הסכם ממון ביחס לדירה, חרף הסכם ממון שנחתם בין הצדדים והוגבל לדירה האחרת שבבעלותה של האישה, העובדה שהצדדים התגוררו במשותף בדירה עם ילדיהם והבאתו לעולם של ילדם השלישי של הצדדים לאחר רכישת הדירה ולאחר משברים בזוגיות עובר לרכישת הדירה. גם טענת האישה לפיה היא המשלמת הבלעדית של דמי המשכנתא החודשיים לא מסייעת לביסוס טענתה בדבר הסכמה לבעלותה הבלעדית בדירה שכן, כאמור, בין הצדדים לא התקיימה </w:t>
      </w:r>
      <w:r>
        <w:rPr>
          <w:rFonts w:ascii="David" w:hAnsi="David"/>
          <w:color w:val="000000"/>
          <w:rtl/>
        </w:rPr>
        <w:lastRenderedPageBreak/>
        <w:t>הפרדה רכושית (לבד מהאמור הוצגו העברות מחשבונם של הצדדים האחד לשנייה  - ת/41 בתיק המוצגים שהוגש על ידי האיש).</w:t>
      </w:r>
    </w:p>
    <w:p w:rsidR="00FC26BE" w:rsidRDefault="00FC26BE" w:rsidP="00FC26BE">
      <w:pPr>
        <w:spacing w:line="360" w:lineRule="auto"/>
        <w:ind w:left="720" w:hanging="720"/>
        <w:jc w:val="both"/>
        <w:rPr>
          <w:rFonts w:ascii="David" w:hAnsi="David"/>
          <w:color w:val="000000"/>
          <w:rtl/>
        </w:rPr>
      </w:pPr>
    </w:p>
    <w:p w:rsidR="00FC26BE" w:rsidRDefault="00FC26BE" w:rsidP="00FC26BE">
      <w:pPr>
        <w:spacing w:line="360" w:lineRule="auto"/>
        <w:ind w:left="720" w:hanging="720"/>
        <w:jc w:val="both"/>
        <w:rPr>
          <w:rFonts w:ascii="David" w:hAnsi="David"/>
          <w:color w:val="000000"/>
          <w:rtl/>
        </w:rPr>
      </w:pPr>
      <w:r>
        <w:rPr>
          <w:rFonts w:ascii="David" w:hAnsi="David"/>
          <w:color w:val="000000"/>
          <w:rtl/>
        </w:rPr>
        <w:tab/>
        <w:t>אם בכל האמור לא די המעיין בכתב התביעה של האישה, הבסיס לטענותיה, ימצא תמונה אחרת. על פי האישה מחצית הזכויות בדירה נרשמו על שם האיש מכוח אהבתה אל האיש "...</w:t>
      </w:r>
      <w:r>
        <w:rPr>
          <w:rFonts w:ascii="David" w:hAnsi="David"/>
          <w:b/>
          <w:bCs/>
          <w:color w:val="000000"/>
          <w:rtl/>
        </w:rPr>
        <w:t>ממש קיוותה שהשיקום יצליח שכן אהבה את הנתבע</w:t>
      </w:r>
      <w:r>
        <w:rPr>
          <w:rFonts w:ascii="David" w:hAnsi="David"/>
          <w:color w:val="000000"/>
          <w:rtl/>
        </w:rPr>
        <w:t xml:space="preserve"> ...", התייעצותה עם רבנים ורצונה לשקם את חיי הצדדים "...</w:t>
      </w:r>
      <w:r>
        <w:rPr>
          <w:rFonts w:ascii="David" w:hAnsi="David"/>
          <w:b/>
          <w:bCs/>
          <w:color w:val="000000"/>
          <w:rtl/>
        </w:rPr>
        <w:t>על מנת לחזק היחסים ביניהם ולגלות אמון האחד בשני</w:t>
      </w:r>
      <w:r>
        <w:rPr>
          <w:rFonts w:ascii="David" w:hAnsi="David"/>
          <w:color w:val="000000"/>
          <w:rtl/>
        </w:rPr>
        <w:t>". אמור מעתה שגם לגישת האישה - שהדירה ,לכאורה, רק בבעלותה -  מרגע שהיא בחרה/החליטה לחלוק את זכויותיה בדירה עם האיש, מרצונה החופשי, מתוך ידיעה ואמונה חזקה  שמעשה זה הוא המעשה הנכון במערכת היחסים ביניהם הרי מדובר בדירה משותפת.  כנגד טענות אלו השזורות כחוט השני בתביעתה העלתה האישה, בדיעבד, טענות של הולכת שולל, בדיה, העדר כוונה ועוד טענות העולות לראשונה בהתדיינות המשפטית חרף חלוף הזמן ואולם אין כישלון השיקום של חיי הזוגיות כשלעצמו להפוך את המשיב לגזלן שחיזר אחריה "</w:t>
      </w:r>
      <w:r>
        <w:rPr>
          <w:rFonts w:ascii="David" w:hAnsi="David"/>
          <w:b/>
          <w:bCs/>
          <w:color w:val="000000"/>
          <w:rtl/>
        </w:rPr>
        <w:t>לאחר זמן קצר</w:t>
      </w:r>
      <w:r>
        <w:rPr>
          <w:rFonts w:ascii="David" w:hAnsi="David"/>
          <w:color w:val="000000"/>
          <w:rtl/>
        </w:rPr>
        <w:t xml:space="preserve"> ..." מפרידתו מבת זוגו הקודמת כדי להפכו לגזלן שכל מבוקשו להשתלט על רכושה מקל וחומר שנישואיו אליה לא היו חד צדדיים. </w:t>
      </w:r>
    </w:p>
    <w:p w:rsidR="00FC26BE" w:rsidRDefault="00FC26BE" w:rsidP="00FC26BE">
      <w:pPr>
        <w:spacing w:line="360" w:lineRule="auto"/>
        <w:ind w:left="720" w:hanging="720"/>
        <w:jc w:val="both"/>
        <w:rPr>
          <w:rFonts w:ascii="David" w:hAnsi="David"/>
          <w:color w:val="000000"/>
          <w:rtl/>
        </w:rPr>
      </w:pPr>
      <w:r>
        <w:rPr>
          <w:rFonts w:ascii="David" w:hAnsi="David"/>
          <w:color w:val="000000"/>
          <w:rtl/>
        </w:rPr>
        <w:t xml:space="preserve">  </w:t>
      </w:r>
    </w:p>
    <w:p w:rsidR="00FC26BE" w:rsidRDefault="00FC26BE" w:rsidP="00FC26BE">
      <w:pPr>
        <w:spacing w:line="360" w:lineRule="auto"/>
        <w:ind w:left="720"/>
        <w:jc w:val="both"/>
        <w:rPr>
          <w:rFonts w:ascii="David" w:hAnsi="David"/>
          <w:rtl/>
        </w:rPr>
      </w:pPr>
      <w:r>
        <w:rPr>
          <w:rFonts w:ascii="David" w:hAnsi="David"/>
          <w:rtl/>
        </w:rPr>
        <w:t>זאת, ועוד. כאשר דירת מגורים נרשמת בבעלות משותפת על שם שני הצדדים בחלקים שווים והרישום משקף את  ההסכמות הרי שלא ניתן לקבוע אחרת מכוח סעיף 8 לחוק יחסי ממון. (</w:t>
      </w:r>
      <w:r>
        <w:rPr>
          <w:rFonts w:ascii="David" w:hAnsi="David"/>
          <w:u w:val="single"/>
          <w:rtl/>
        </w:rPr>
        <w:t xml:space="preserve">עמש (חי') 61008-06-13 </w:t>
      </w:r>
      <w:r>
        <w:rPr>
          <w:rFonts w:ascii="David" w:hAnsi="David"/>
          <w:b/>
          <w:bCs/>
          <w:rtl/>
        </w:rPr>
        <w:t xml:space="preserve">נ' מ' א' </w:t>
      </w:r>
      <w:r>
        <w:rPr>
          <w:rFonts w:ascii="David" w:hAnsi="David"/>
          <w:rtl/>
        </w:rPr>
        <w:t xml:space="preserve">נ' </w:t>
      </w:r>
      <w:r>
        <w:rPr>
          <w:rFonts w:ascii="David" w:hAnsi="David"/>
          <w:b/>
          <w:bCs/>
          <w:rtl/>
        </w:rPr>
        <w:t xml:space="preserve">י' א' </w:t>
      </w:r>
      <w:r>
        <w:rPr>
          <w:rFonts w:ascii="David" w:hAnsi="David"/>
          <w:rtl/>
        </w:rPr>
        <w:t xml:space="preserve">(11/6/2014)  סעיף 39 לפסק הדין; </w:t>
      </w:r>
      <w:r>
        <w:rPr>
          <w:rFonts w:ascii="David" w:hAnsi="David"/>
          <w:u w:val="single"/>
          <w:rtl/>
        </w:rPr>
        <w:t>בע"מ 1955/17</w:t>
      </w:r>
      <w:r>
        <w:rPr>
          <w:rFonts w:ascii="David" w:hAnsi="David"/>
          <w:rtl/>
        </w:rPr>
        <w:t xml:space="preserve"> </w:t>
      </w:r>
      <w:r>
        <w:rPr>
          <w:rFonts w:ascii="David" w:hAnsi="David"/>
          <w:b/>
          <w:bCs/>
          <w:rtl/>
        </w:rPr>
        <w:t xml:space="preserve">פלונית </w:t>
      </w:r>
      <w:r>
        <w:rPr>
          <w:rFonts w:ascii="David" w:hAnsi="David"/>
          <w:rtl/>
        </w:rPr>
        <w:t xml:space="preserve">נ' </w:t>
      </w:r>
      <w:r>
        <w:rPr>
          <w:rFonts w:ascii="David" w:hAnsi="David"/>
          <w:b/>
          <w:bCs/>
          <w:rtl/>
        </w:rPr>
        <w:t xml:space="preserve">פלוני </w:t>
      </w:r>
      <w:r>
        <w:rPr>
          <w:rFonts w:ascii="David" w:hAnsi="David"/>
          <w:rtl/>
        </w:rPr>
        <w:t>(18/4/2017)).</w:t>
      </w:r>
    </w:p>
    <w:p w:rsidR="00FC26BE" w:rsidRDefault="00FC26BE" w:rsidP="00FC26BE">
      <w:pPr>
        <w:spacing w:line="360" w:lineRule="auto"/>
        <w:ind w:left="720"/>
        <w:jc w:val="both"/>
        <w:rPr>
          <w:rFonts w:ascii="David" w:hAnsi="David"/>
          <w:rtl/>
        </w:rPr>
      </w:pPr>
    </w:p>
    <w:p w:rsidR="00FC26BE" w:rsidRDefault="00FC26BE" w:rsidP="00FC26BE">
      <w:pPr>
        <w:spacing w:line="360" w:lineRule="auto"/>
        <w:ind w:left="720"/>
        <w:jc w:val="both"/>
        <w:rPr>
          <w:rFonts w:ascii="David" w:hAnsi="David"/>
          <w:rtl/>
        </w:rPr>
      </w:pPr>
      <w:r>
        <w:rPr>
          <w:rFonts w:ascii="David" w:hAnsi="David"/>
          <w:rtl/>
        </w:rPr>
        <w:t xml:space="preserve">כך, אין זה משנה כיצד נרכשה ו/או מומנה היא שייכת לשני הצדדים בחלקים שווים הוא המקרה שלפני- אין לפני כל ראיה שלא אלה היו ההסכמות- נהפוך הוא. </w:t>
      </w:r>
    </w:p>
    <w:p w:rsidR="00FC26BE" w:rsidRDefault="00FC26BE" w:rsidP="00FC26BE">
      <w:pPr>
        <w:spacing w:line="360" w:lineRule="auto"/>
        <w:ind w:left="720"/>
        <w:jc w:val="both"/>
        <w:rPr>
          <w:rFonts w:ascii="David" w:hAnsi="David"/>
          <w:rtl/>
        </w:rPr>
      </w:pPr>
    </w:p>
    <w:p w:rsidR="00FC26BE" w:rsidRDefault="00FC26BE" w:rsidP="00FC26BE">
      <w:pPr>
        <w:spacing w:line="360" w:lineRule="auto"/>
        <w:ind w:left="651"/>
        <w:jc w:val="both"/>
        <w:rPr>
          <w:rFonts w:ascii="David" w:hAnsi="David"/>
          <w:rtl/>
        </w:rPr>
      </w:pPr>
      <w:r>
        <w:rPr>
          <w:rFonts w:ascii="David" w:hAnsi="David"/>
          <w:rtl/>
        </w:rPr>
        <w:t>אין בטיעוני האישה התייחסות לעילות לביטול מתנה מההיבט המשפטי.  טענתה להשקעה כספית גבוהה לצורך תחזוק מערכת היחסים של הצדדים  אם על דרך הבאת ההון העצמי לצורך רכישת הדירה, אם על דרך רכישת הרכב לאיש, אם על דרך הוצאת סכומי כסף לבילויים וחופשות משותפות ואם לצרכים רפואיים של האיש והכישלון הסופי של המערכת הזוגית אינה מובילה בדרך המלך למסקנה שהכול היה לשווא מתוך מטרתו של האיש להשתלט על נכסיה (סעיפים 51-53 לתביעת האישה) ברם טענה זו הגם שלא נטענה מפורשות על ידי האישה בפועל אינה אלא טענה לביטול מתנה בשל טעות,  הטעייה או מרמה. סביר שאדם היה נמנע מלכתחילה להשקיע השקעה אישית או כספית בזוגיות לו ידע שהצד השני אינו שותף מלא וכנה, אך אין זה המקרה שלפניי. חרף המשברים ביניהם הפנייה המוקדמת בשנת 2016 לערכאות כשנה וחצי לאחר רכישת הדירה, (עדות האיש מיום 2/6/2020 ב-</w:t>
      </w:r>
      <w:r>
        <w:rPr>
          <w:rFonts w:ascii="David" w:hAnsi="David"/>
          <w:u w:val="single"/>
          <w:rtl/>
        </w:rPr>
        <w:t>תלה"מ 21684-01-19</w:t>
      </w:r>
      <w:r>
        <w:rPr>
          <w:rFonts w:ascii="David" w:hAnsi="David"/>
          <w:rtl/>
        </w:rPr>
        <w:t xml:space="preserve"> בעמ' 20, ש' 3-24.; סעיף 38 לתביעת האישה), אך אל מול כל זה ביום 19/2/2018 חודש לפני מועד הקרע נולד בנם השלישי של הצדדים, הצדדים נסעו לחופשות משותפות בחו"ל בשנת 2016 כזוג וגם כמשפחה בשנת 2018 לאחר מועד הקרע (עדות האישה מיום 17/1/22 ב-</w:t>
      </w:r>
      <w:r>
        <w:rPr>
          <w:rFonts w:ascii="David" w:hAnsi="David"/>
          <w:u w:val="single"/>
          <w:rtl/>
        </w:rPr>
        <w:t>תלה"מ 61437</w:t>
      </w:r>
      <w:r>
        <w:rPr>
          <w:rFonts w:ascii="David" w:hAnsi="David"/>
          <w:rtl/>
        </w:rPr>
        <w:t>-</w:t>
      </w:r>
      <w:r>
        <w:rPr>
          <w:rFonts w:ascii="David" w:hAnsi="David"/>
          <w:u w:val="single"/>
          <w:rtl/>
        </w:rPr>
        <w:t>05-19</w:t>
      </w:r>
      <w:r>
        <w:rPr>
          <w:rFonts w:ascii="David" w:hAnsi="David"/>
          <w:rtl/>
        </w:rPr>
        <w:t xml:space="preserve"> ,עמ' 7-5) והדברים מוצאים ביטוי גם בתיאורי </w:t>
      </w:r>
      <w:r>
        <w:rPr>
          <w:rFonts w:ascii="David" w:hAnsi="David"/>
          <w:rtl/>
        </w:rPr>
        <w:lastRenderedPageBreak/>
        <w:t xml:space="preserve">הצדדים באריכות רבה בכתבי הטענות ובעדותם והתמונה העולה היא מערכת יחסים סוערת ומלאה בתהפוכות מתחילתה ועד סופה.  </w:t>
      </w:r>
    </w:p>
    <w:p w:rsidR="00FC26BE" w:rsidRDefault="00FC26BE" w:rsidP="00FC26BE">
      <w:pPr>
        <w:spacing w:line="360" w:lineRule="auto"/>
        <w:ind w:left="651"/>
        <w:jc w:val="both"/>
        <w:rPr>
          <w:rFonts w:ascii="David" w:hAnsi="David"/>
          <w:rtl/>
        </w:rPr>
      </w:pPr>
    </w:p>
    <w:p w:rsidR="00FC26BE" w:rsidRDefault="00FC26BE" w:rsidP="00FC26BE">
      <w:pPr>
        <w:spacing w:line="360" w:lineRule="auto"/>
        <w:ind w:left="651"/>
        <w:jc w:val="both"/>
        <w:rPr>
          <w:rFonts w:ascii="David" w:hAnsi="David"/>
        </w:rPr>
      </w:pPr>
      <w:r>
        <w:rPr>
          <w:rFonts w:ascii="David" w:hAnsi="David"/>
          <w:rtl/>
        </w:rPr>
        <w:t xml:space="preserve">זוגיות מטבע הדברים היא דינאמית ופירוק התא המשפחתי הוא אירוע קשה, אך לא מצאתי שבנסיבות העניין ההתרחשויות במערכת היחסים עולה לכדי הטעיה או מרמה של האיש את האישה ואין מקום לביטול המתנה.  </w:t>
      </w:r>
    </w:p>
    <w:p w:rsidR="00FC26BE" w:rsidRDefault="00FC26BE" w:rsidP="00FC26BE">
      <w:pPr>
        <w:spacing w:line="360" w:lineRule="auto"/>
        <w:ind w:left="651"/>
        <w:jc w:val="both"/>
        <w:rPr>
          <w:rFonts w:ascii="David" w:hAnsi="David"/>
          <w:rtl/>
        </w:rPr>
      </w:pPr>
    </w:p>
    <w:p w:rsidR="00FC26BE" w:rsidRDefault="00FC26BE" w:rsidP="00FC26BE">
      <w:pPr>
        <w:pStyle w:val="a3"/>
        <w:spacing w:line="360" w:lineRule="auto"/>
        <w:ind w:left="651" w:hanging="567"/>
        <w:rPr>
          <w:rFonts w:ascii="David" w:hAnsi="David" w:cs="David"/>
          <w:b/>
          <w:bCs/>
          <w:sz w:val="24"/>
          <w:szCs w:val="24"/>
          <w:rtl/>
        </w:rPr>
      </w:pPr>
      <w:r>
        <w:rPr>
          <w:rFonts w:ascii="David" w:hAnsi="David" w:cs="David"/>
          <w:sz w:val="24"/>
          <w:szCs w:val="24"/>
          <w:rtl/>
        </w:rPr>
        <w:t>20.</w:t>
      </w:r>
      <w:r>
        <w:rPr>
          <w:rFonts w:ascii="David" w:hAnsi="David" w:cs="David"/>
          <w:sz w:val="24"/>
          <w:szCs w:val="24"/>
          <w:rtl/>
        </w:rPr>
        <w:tab/>
      </w:r>
      <w:r>
        <w:rPr>
          <w:rFonts w:ascii="David" w:hAnsi="David" w:cs="David"/>
          <w:sz w:val="24"/>
          <w:szCs w:val="24"/>
          <w:rtl/>
        </w:rPr>
        <w:tab/>
        <w:t xml:space="preserve">סעיף 2 לחוק המתנה, תשכ"ח-1968 קובע: </w:t>
      </w:r>
      <w:r>
        <w:rPr>
          <w:rFonts w:ascii="David" w:hAnsi="David" w:cs="David"/>
          <w:b/>
          <w:bCs/>
          <w:color w:val="000000"/>
          <w:sz w:val="24"/>
          <w:szCs w:val="24"/>
          <w:shd w:val="clear" w:color="auto" w:fill="FFFFFF"/>
          <w:rtl/>
        </w:rPr>
        <w:t>"מתנה נגמרת בהקניית דבר-המתנה על-ידי הנותן למקבל תוך הסכמה ביניהם שהדבר ניתן במתנה</w:t>
      </w:r>
      <w:r>
        <w:rPr>
          <w:rFonts w:ascii="David" w:hAnsi="David" w:cs="David"/>
          <w:b/>
          <w:bCs/>
          <w:color w:val="000000"/>
          <w:sz w:val="24"/>
          <w:szCs w:val="24"/>
          <w:shd w:val="clear" w:color="auto" w:fill="FFFFFF"/>
        </w:rPr>
        <w:t>.</w:t>
      </w:r>
      <w:r>
        <w:rPr>
          <w:rFonts w:ascii="David" w:hAnsi="David" w:cs="David"/>
          <w:b/>
          <w:bCs/>
          <w:sz w:val="24"/>
          <w:szCs w:val="24"/>
          <w:rtl/>
        </w:rPr>
        <w:t>"</w:t>
      </w:r>
    </w:p>
    <w:p w:rsidR="00FC26BE" w:rsidRDefault="00FC26BE" w:rsidP="00FC26BE">
      <w:pPr>
        <w:spacing w:line="360" w:lineRule="auto"/>
        <w:ind w:left="360" w:firstLine="291"/>
        <w:jc w:val="both"/>
        <w:rPr>
          <w:rFonts w:ascii="David" w:hAnsi="David"/>
        </w:rPr>
      </w:pPr>
      <w:r>
        <w:rPr>
          <w:rFonts w:ascii="David" w:hAnsi="David"/>
          <w:rtl/>
        </w:rPr>
        <w:t xml:space="preserve">כאשר מדובר במקרקעין מצטרף גם סעיף 7 לחוק המקרקעין, התשכ"ט-1967: </w:t>
      </w:r>
    </w:p>
    <w:p w:rsidR="00FC26BE" w:rsidRDefault="00FC26BE" w:rsidP="00FC26BE">
      <w:pPr>
        <w:shd w:val="clear" w:color="auto" w:fill="FFFFFF"/>
        <w:spacing w:before="150" w:line="360" w:lineRule="auto"/>
        <w:ind w:left="720"/>
        <w:jc w:val="both"/>
        <w:rPr>
          <w:rFonts w:ascii="David" w:hAnsi="David"/>
          <w:b/>
          <w:bCs/>
          <w:color w:val="000000"/>
          <w:rtl/>
        </w:rPr>
      </w:pPr>
      <w:r>
        <w:rPr>
          <w:rFonts w:ascii="David" w:hAnsi="David"/>
          <w:b/>
          <w:bCs/>
          <w:color w:val="000000"/>
        </w:rPr>
        <w:t>"</w:t>
      </w:r>
      <w:r>
        <w:rPr>
          <w:rFonts w:ascii="David" w:hAnsi="David"/>
          <w:b/>
          <w:bCs/>
          <w:color w:val="000000"/>
          <w:rtl/>
        </w:rPr>
        <w:t>(א). עסקה במקרקעין טעונה רישום; העסקה נגמרת ברישום, ורואים את השעה שבה אישר הרשם את העסקה לרישום כשעת הרישום</w:t>
      </w:r>
      <w:r>
        <w:rPr>
          <w:rFonts w:ascii="David" w:hAnsi="David"/>
          <w:b/>
          <w:bCs/>
          <w:color w:val="000000"/>
        </w:rPr>
        <w:t>.</w:t>
      </w:r>
    </w:p>
    <w:p w:rsidR="00FC26BE" w:rsidRDefault="00FC26BE" w:rsidP="00FC26BE">
      <w:pPr>
        <w:shd w:val="clear" w:color="auto" w:fill="FFFFFF"/>
        <w:spacing w:before="150" w:line="360" w:lineRule="auto"/>
        <w:ind w:left="720"/>
        <w:jc w:val="both"/>
        <w:rPr>
          <w:rFonts w:ascii="David" w:hAnsi="David"/>
          <w:b/>
          <w:bCs/>
          <w:color w:val="000000"/>
          <w:rtl/>
        </w:rPr>
      </w:pPr>
      <w:r>
        <w:rPr>
          <w:rFonts w:ascii="David" w:hAnsi="David"/>
          <w:b/>
          <w:bCs/>
          <w:color w:val="000000"/>
          <w:rtl/>
        </w:rPr>
        <w:t>(ב). עסקה שלא נגמרה ברישום רואים אותה כהתחייבות לעשות עסקה</w:t>
      </w:r>
      <w:r>
        <w:rPr>
          <w:rFonts w:ascii="David" w:hAnsi="David"/>
          <w:b/>
          <w:bCs/>
          <w:color w:val="000000"/>
        </w:rPr>
        <w:t>.</w:t>
      </w:r>
      <w:r>
        <w:rPr>
          <w:rFonts w:ascii="David" w:hAnsi="David"/>
          <w:b/>
          <w:bCs/>
          <w:color w:val="000000"/>
          <w:rtl/>
        </w:rPr>
        <w:t>"</w:t>
      </w:r>
    </w:p>
    <w:p w:rsidR="00FC26BE" w:rsidRDefault="00FC26BE" w:rsidP="00FC26BE">
      <w:pPr>
        <w:shd w:val="clear" w:color="auto" w:fill="FFFFFF"/>
        <w:spacing w:before="150" w:line="360" w:lineRule="auto"/>
        <w:ind w:left="720"/>
        <w:jc w:val="both"/>
        <w:rPr>
          <w:rFonts w:ascii="David" w:hAnsi="David"/>
          <w:color w:val="000000"/>
        </w:rPr>
      </w:pPr>
      <w:r>
        <w:rPr>
          <w:rFonts w:ascii="David" w:hAnsi="David"/>
          <w:color w:val="000000"/>
          <w:rtl/>
        </w:rPr>
        <w:t>אמור מעתה שגם אם ארצה לראות ברישום מחצית הזכויות בדירה על שם האיש הרי שמתנה זו הושלמה.</w:t>
      </w:r>
    </w:p>
    <w:p w:rsidR="00FC26BE" w:rsidRDefault="00FC26BE" w:rsidP="00FC26BE">
      <w:pPr>
        <w:shd w:val="clear" w:color="auto" w:fill="FFFFFF"/>
        <w:spacing w:before="150" w:line="360" w:lineRule="auto"/>
        <w:ind w:left="714" w:hanging="630"/>
        <w:jc w:val="both"/>
        <w:rPr>
          <w:rFonts w:ascii="David" w:hAnsi="David"/>
          <w:color w:val="000000"/>
          <w:rtl/>
        </w:rPr>
      </w:pPr>
      <w:r>
        <w:rPr>
          <w:rFonts w:ascii="David" w:hAnsi="David"/>
          <w:color w:val="000000"/>
          <w:rtl/>
        </w:rPr>
        <w:t>21.</w:t>
      </w:r>
      <w:r>
        <w:rPr>
          <w:rFonts w:ascii="David" w:hAnsi="David"/>
          <w:color w:val="000000"/>
          <w:rtl/>
        </w:rPr>
        <w:tab/>
        <w:t>בשים לב לאמור לעיל בפרק הדן בדירה אני קובע שהצדדים הם בעלים במשותף של הזכויות בדירה.</w:t>
      </w:r>
    </w:p>
    <w:p w:rsidR="00FC26BE" w:rsidRDefault="00FC26BE" w:rsidP="00FC26BE">
      <w:pPr>
        <w:spacing w:line="360" w:lineRule="auto"/>
        <w:ind w:firstLine="720"/>
        <w:jc w:val="both"/>
        <w:rPr>
          <w:rFonts w:ascii="David" w:hAnsi="David"/>
          <w:b/>
          <w:bCs/>
          <w:rtl/>
        </w:rPr>
      </w:pPr>
    </w:p>
    <w:p w:rsidR="00FC26BE" w:rsidRDefault="00FC26BE" w:rsidP="00FC26BE">
      <w:pPr>
        <w:spacing w:line="360" w:lineRule="auto"/>
        <w:ind w:firstLine="720"/>
        <w:jc w:val="both"/>
        <w:rPr>
          <w:rFonts w:ascii="David" w:eastAsiaTheme="minorHAnsi" w:hAnsi="David"/>
          <w:b/>
          <w:bCs/>
          <w:rtl/>
        </w:rPr>
      </w:pPr>
      <w:r>
        <w:rPr>
          <w:rFonts w:ascii="David" w:hAnsi="David"/>
          <w:b/>
          <w:bCs/>
          <w:rtl/>
        </w:rPr>
        <w:t>הרכב:</w:t>
      </w:r>
    </w:p>
    <w:p w:rsidR="00FC26BE" w:rsidRDefault="00FC26BE" w:rsidP="00FC26BE">
      <w:pPr>
        <w:spacing w:line="360" w:lineRule="auto"/>
        <w:ind w:firstLine="720"/>
        <w:jc w:val="both"/>
        <w:rPr>
          <w:rFonts w:ascii="David" w:eastAsiaTheme="minorHAnsi" w:hAnsi="David"/>
          <w:b/>
          <w:bCs/>
          <w:rtl/>
        </w:rPr>
      </w:pPr>
    </w:p>
    <w:p w:rsidR="00FC26BE" w:rsidRDefault="00FC26BE" w:rsidP="00FC26BE">
      <w:pPr>
        <w:spacing w:line="360" w:lineRule="auto"/>
        <w:ind w:left="720" w:hanging="720"/>
        <w:jc w:val="both"/>
        <w:rPr>
          <w:rFonts w:ascii="David" w:hAnsi="David"/>
        </w:rPr>
      </w:pPr>
      <w:r>
        <w:rPr>
          <w:rFonts w:ascii="David" w:hAnsi="David"/>
          <w:rtl/>
        </w:rPr>
        <w:t>22.</w:t>
      </w:r>
      <w:r>
        <w:rPr>
          <w:rFonts w:ascii="David" w:hAnsi="David"/>
          <w:rtl/>
        </w:rPr>
        <w:tab/>
        <w:t xml:space="preserve">על פי אותו נתיב בו הלכתי בעניין הדירה הרי שהרכב אשר נמסר לאיש הוא בחזקתו הענקתו לאיש הושלמה- הענקת המתנה הושלמה. טענה האישה שלא העבירה את הרכב על שמו מאחר ושייך לה אינה רלוונטית שעה שבמיטלטלין נדרשת חזקה ואין מחלוקת בין הצדדים הרכב בשימושו ובחזקתו של האיש מאז נרכש. </w:t>
      </w:r>
    </w:p>
    <w:p w:rsidR="00FC26BE" w:rsidRDefault="00FC26BE" w:rsidP="00FC26BE">
      <w:pPr>
        <w:spacing w:line="360" w:lineRule="auto"/>
        <w:ind w:left="720" w:hanging="720"/>
        <w:jc w:val="both"/>
        <w:rPr>
          <w:rFonts w:ascii="David" w:hAnsi="David"/>
          <w:rtl/>
        </w:rPr>
      </w:pPr>
    </w:p>
    <w:p w:rsidR="00FC26BE" w:rsidRDefault="00FC26BE" w:rsidP="00FC26BE">
      <w:pPr>
        <w:spacing w:line="360" w:lineRule="auto"/>
        <w:ind w:left="720"/>
        <w:jc w:val="both"/>
        <w:rPr>
          <w:rFonts w:ascii="David" w:hAnsi="David"/>
          <w:rtl/>
        </w:rPr>
      </w:pPr>
      <w:r>
        <w:rPr>
          <w:rFonts w:ascii="David" w:hAnsi="David"/>
          <w:rtl/>
        </w:rPr>
        <w:t>מבלי לגרוע באמור לעיל וגם אם הייתה משמעות לאי רישום הרכב על שמו של המשיב כאן המקום להדגיש, שמשעה שבין הצדדים לא נוהגת הפרדה רכושית  הרי שאין בהתנהלות הכלכלית של התא המשפחתי כסף שלי וכסף שלך מדובר בשיתוף כלכלי מלא.</w:t>
      </w:r>
    </w:p>
    <w:p w:rsidR="00FC26BE" w:rsidRDefault="00FC26BE" w:rsidP="00FC26BE">
      <w:pPr>
        <w:spacing w:line="360" w:lineRule="auto"/>
        <w:ind w:left="720"/>
        <w:jc w:val="both"/>
        <w:rPr>
          <w:rFonts w:ascii="David" w:hAnsi="David"/>
          <w:rtl/>
        </w:rPr>
      </w:pPr>
    </w:p>
    <w:p w:rsidR="00FC26BE" w:rsidRDefault="00FC26BE" w:rsidP="00FC26BE">
      <w:pPr>
        <w:spacing w:line="360" w:lineRule="auto"/>
        <w:ind w:left="720"/>
        <w:jc w:val="both"/>
        <w:rPr>
          <w:rFonts w:ascii="David" w:hAnsi="David"/>
          <w:rtl/>
        </w:rPr>
      </w:pPr>
      <w:r>
        <w:rPr>
          <w:rFonts w:ascii="David" w:hAnsi="David"/>
          <w:rtl/>
        </w:rPr>
        <w:t xml:space="preserve">העתרות לבקשת האישה היה מחייב מכירת שני כלי הרכב וחלוקת התמורה בין הצדדים בשווה. מאחר והאישה לא עתרה לכך איני דן באפשרות זו. </w:t>
      </w:r>
    </w:p>
    <w:p w:rsidR="00FC26BE" w:rsidRDefault="00FC26BE" w:rsidP="00FC26BE">
      <w:pPr>
        <w:spacing w:line="360" w:lineRule="auto"/>
        <w:ind w:left="720"/>
        <w:jc w:val="both"/>
        <w:rPr>
          <w:rFonts w:ascii="David" w:hAnsi="David"/>
          <w:rtl/>
        </w:rPr>
      </w:pPr>
    </w:p>
    <w:p w:rsidR="00FC26BE" w:rsidRDefault="00FC26BE" w:rsidP="00FC26BE">
      <w:pPr>
        <w:spacing w:line="360" w:lineRule="auto"/>
        <w:ind w:left="720"/>
        <w:jc w:val="both"/>
        <w:rPr>
          <w:rFonts w:ascii="David" w:hAnsi="David"/>
          <w:b/>
          <w:bCs/>
          <w:rtl/>
        </w:rPr>
      </w:pPr>
      <w:r>
        <w:rPr>
          <w:rFonts w:ascii="David" w:hAnsi="David"/>
          <w:b/>
          <w:bCs/>
          <w:rtl/>
        </w:rPr>
        <w:t>טיפולי שיניים:</w:t>
      </w:r>
    </w:p>
    <w:p w:rsidR="00FC26BE" w:rsidRDefault="00FC26BE" w:rsidP="00FC26BE">
      <w:pPr>
        <w:spacing w:line="360" w:lineRule="auto"/>
        <w:ind w:left="720"/>
        <w:jc w:val="both"/>
        <w:rPr>
          <w:rFonts w:ascii="David" w:hAnsi="David"/>
          <w:b/>
          <w:bCs/>
          <w:rtl/>
        </w:rPr>
      </w:pPr>
    </w:p>
    <w:p w:rsidR="00FC26BE" w:rsidRDefault="00FC26BE" w:rsidP="00FC26BE">
      <w:pPr>
        <w:spacing w:line="360" w:lineRule="auto"/>
        <w:ind w:left="714" w:hanging="630"/>
        <w:jc w:val="both"/>
        <w:rPr>
          <w:rFonts w:ascii="David" w:hAnsi="David"/>
          <w:rtl/>
        </w:rPr>
      </w:pPr>
      <w:r>
        <w:rPr>
          <w:rFonts w:ascii="David" w:hAnsi="David"/>
          <w:rtl/>
        </w:rPr>
        <w:t>23.</w:t>
      </w:r>
      <w:r>
        <w:rPr>
          <w:rFonts w:ascii="David" w:hAnsi="David"/>
          <w:rtl/>
        </w:rPr>
        <w:tab/>
        <w:t xml:space="preserve">האם הסך שהוקצה לטיפולי שיניים של האיש הוא הלוואה מהאישה לאיש או הענקה מקובלת בין בני זוג החיים בטוב וברע בעושר ובעוני והצד בעל הממון מסייע לבן זוגו חסר </w:t>
      </w:r>
      <w:r>
        <w:rPr>
          <w:rFonts w:ascii="David" w:hAnsi="David"/>
          <w:rtl/>
        </w:rPr>
        <w:lastRenderedPageBreak/>
        <w:t xml:space="preserve">האמצעים. כמובהר לעיל על פי גישתי אין כסף שלי כסף שלך בשותפות כלכלית בין בני זוג אשר לא בחרו ליצור בהסכם הפרדה רכושית ודי בכך כדי לדחות את טענת ההלוואה. </w:t>
      </w:r>
    </w:p>
    <w:p w:rsidR="00FC26BE" w:rsidRDefault="00FC26BE" w:rsidP="00FC26BE">
      <w:pPr>
        <w:spacing w:line="360" w:lineRule="auto"/>
        <w:ind w:left="714"/>
        <w:jc w:val="both"/>
        <w:rPr>
          <w:rFonts w:ascii="David" w:hAnsi="David"/>
          <w:rtl/>
        </w:rPr>
      </w:pPr>
      <w:r>
        <w:rPr>
          <w:rFonts w:ascii="David" w:hAnsi="David"/>
          <w:rtl/>
        </w:rPr>
        <w:t xml:space="preserve">יחד עם זאת הדברים לא נאמרים בחלל ריק ומוצאים ביטוי גם בעדותה של האישה בבית המשפט: </w:t>
      </w:r>
    </w:p>
    <w:p w:rsidR="00FC26BE" w:rsidRDefault="00FC26BE" w:rsidP="00FC26BE">
      <w:pPr>
        <w:spacing w:line="360" w:lineRule="auto"/>
        <w:ind w:left="714"/>
        <w:jc w:val="both"/>
        <w:rPr>
          <w:rFonts w:ascii="David" w:hAnsi="David"/>
          <w:rtl/>
        </w:rPr>
      </w:pPr>
    </w:p>
    <w:p w:rsidR="00FC26BE" w:rsidRDefault="00FC26BE" w:rsidP="00351CAC">
      <w:pPr>
        <w:pStyle w:val="a3"/>
        <w:spacing w:line="360" w:lineRule="auto"/>
        <w:ind w:left="1438" w:hanging="645"/>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עכשיו לא יכול להיות שכמו שאת השקעת בא</w:t>
      </w:r>
      <w:r w:rsidR="00351CAC">
        <w:rPr>
          <w:rFonts w:ascii="David" w:hAnsi="David" w:cs="David" w:hint="cs"/>
          <w:b/>
          <w:bCs/>
          <w:sz w:val="24"/>
          <w:szCs w:val="24"/>
          <w:rtl/>
        </w:rPr>
        <w:t>.</w:t>
      </w:r>
      <w:r>
        <w:rPr>
          <w:rFonts w:ascii="David" w:hAnsi="David" w:cs="David"/>
          <w:b/>
          <w:bCs/>
          <w:sz w:val="24"/>
          <w:szCs w:val="24"/>
          <w:rtl/>
        </w:rPr>
        <w:t xml:space="preserve"> טיפולי שיניים שהוא השקיע בך בחזרה נגיד רכש לך תכשיטים או מתנות במהלך הנישואין?</w:t>
      </w:r>
    </w:p>
    <w:p w:rsidR="00FC26BE" w:rsidRDefault="00FC26BE" w:rsidP="00FC26BE">
      <w:pPr>
        <w:pStyle w:val="a3"/>
        <w:spacing w:line="360" w:lineRule="auto"/>
        <w:ind w:left="724" w:firstLine="211"/>
        <w:jc w:val="both"/>
        <w:rPr>
          <w:rFonts w:ascii="David" w:hAnsi="David" w:cs="David"/>
          <w:b/>
          <w:bCs/>
          <w:sz w:val="24"/>
          <w:szCs w:val="24"/>
        </w:rPr>
      </w:pPr>
      <w:r>
        <w:rPr>
          <w:rFonts w:ascii="David" w:hAnsi="David" w:cs="David"/>
          <w:b/>
          <w:bCs/>
          <w:sz w:val="24"/>
          <w:szCs w:val="24"/>
          <w:rtl/>
        </w:rPr>
        <w:t>ת.</w:t>
      </w:r>
      <w:r>
        <w:rPr>
          <w:rFonts w:ascii="David" w:hAnsi="David" w:cs="David"/>
          <w:b/>
          <w:bCs/>
          <w:sz w:val="24"/>
          <w:szCs w:val="24"/>
          <w:rtl/>
        </w:rPr>
        <w:tab/>
        <w:t>כן.</w:t>
      </w:r>
    </w:p>
    <w:p w:rsidR="00FC26BE" w:rsidRDefault="00FC26BE" w:rsidP="00FC26BE">
      <w:pPr>
        <w:pStyle w:val="a3"/>
        <w:tabs>
          <w:tab w:val="left" w:pos="-908"/>
        </w:tabs>
        <w:spacing w:line="360" w:lineRule="auto"/>
        <w:ind w:left="509" w:firstLine="426"/>
        <w:jc w:val="both"/>
        <w:rPr>
          <w:rFonts w:ascii="David" w:hAnsi="David" w:cs="David"/>
          <w:b/>
          <w:bCs/>
          <w:sz w:val="24"/>
          <w:szCs w:val="24"/>
        </w:rPr>
      </w:pPr>
      <w:r>
        <w:rPr>
          <w:rFonts w:ascii="David" w:hAnsi="David" w:cs="David"/>
          <w:b/>
          <w:bCs/>
          <w:sz w:val="24"/>
          <w:szCs w:val="24"/>
          <w:rtl/>
        </w:rPr>
        <w:t>ש.</w:t>
      </w:r>
      <w:r>
        <w:rPr>
          <w:rFonts w:ascii="David" w:hAnsi="David" w:cs="David"/>
          <w:b/>
          <w:bCs/>
          <w:sz w:val="24"/>
          <w:szCs w:val="24"/>
          <w:rtl/>
        </w:rPr>
        <w:tab/>
        <w:t xml:space="preserve">אני מפנה אותך ל ת/44 </w:t>
      </w:r>
    </w:p>
    <w:p w:rsidR="00FC26BE" w:rsidRDefault="00FC26BE" w:rsidP="00351CAC">
      <w:pPr>
        <w:pStyle w:val="a3"/>
        <w:spacing w:line="360" w:lineRule="auto"/>
        <w:ind w:left="509" w:firstLine="426"/>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אני לא מבקשת מתנות שנתתי לא</w:t>
      </w:r>
      <w:r w:rsidR="00351CAC">
        <w:rPr>
          <w:rFonts w:ascii="David" w:hAnsi="David" w:cs="David" w:hint="cs"/>
          <w:b/>
          <w:bCs/>
          <w:sz w:val="24"/>
          <w:szCs w:val="24"/>
          <w:rtl/>
        </w:rPr>
        <w:t>.</w:t>
      </w:r>
      <w:r>
        <w:rPr>
          <w:rFonts w:ascii="David" w:hAnsi="David" w:cs="David"/>
          <w:b/>
          <w:bCs/>
          <w:sz w:val="24"/>
          <w:szCs w:val="24"/>
          <w:rtl/>
        </w:rPr>
        <w:t xml:space="preserve">, אלא רק מה שמגיע לי. </w:t>
      </w:r>
    </w:p>
    <w:p w:rsidR="00FC26BE" w:rsidRDefault="00FC26BE" w:rsidP="00351CAC">
      <w:pPr>
        <w:pStyle w:val="a3"/>
        <w:tabs>
          <w:tab w:val="left" w:pos="-2184"/>
        </w:tabs>
        <w:spacing w:line="360" w:lineRule="auto"/>
        <w:ind w:left="509" w:firstLine="426"/>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ואת אמרת בהמשך שהשיניים של א</w:t>
      </w:r>
      <w:r w:rsidR="00351CAC">
        <w:rPr>
          <w:rFonts w:ascii="David" w:hAnsi="David" w:cs="David" w:hint="cs"/>
          <w:b/>
          <w:bCs/>
          <w:sz w:val="24"/>
          <w:szCs w:val="24"/>
          <w:rtl/>
        </w:rPr>
        <w:t>.</w:t>
      </w:r>
      <w:r>
        <w:rPr>
          <w:rFonts w:ascii="David" w:hAnsi="David" w:cs="David"/>
          <w:b/>
          <w:bCs/>
          <w:sz w:val="24"/>
          <w:szCs w:val="24"/>
          <w:rtl/>
        </w:rPr>
        <w:t xml:space="preserve"> זה הרכוש שלך. </w:t>
      </w:r>
    </w:p>
    <w:p w:rsidR="00FC26BE" w:rsidRDefault="00FC26BE" w:rsidP="00FC26BE">
      <w:pPr>
        <w:pStyle w:val="a3"/>
        <w:tabs>
          <w:tab w:val="left" w:pos="-6153"/>
        </w:tabs>
        <w:spacing w:line="360" w:lineRule="auto"/>
        <w:ind w:left="509" w:firstLine="426"/>
        <w:jc w:val="both"/>
        <w:rPr>
          <w:rFonts w:ascii="David" w:hAnsi="David" w:cs="David"/>
          <w:b/>
          <w:bCs/>
          <w:sz w:val="24"/>
          <w:szCs w:val="24"/>
        </w:rPr>
      </w:pPr>
      <w:r>
        <w:rPr>
          <w:rFonts w:ascii="David" w:hAnsi="David" w:cs="David"/>
          <w:b/>
          <w:bCs/>
          <w:sz w:val="24"/>
          <w:szCs w:val="24"/>
          <w:rtl/>
        </w:rPr>
        <w:t>ת.</w:t>
      </w:r>
      <w:r>
        <w:rPr>
          <w:rFonts w:ascii="David" w:hAnsi="David" w:cs="David"/>
          <w:b/>
          <w:bCs/>
          <w:sz w:val="24"/>
          <w:szCs w:val="24"/>
          <w:rtl/>
        </w:rPr>
        <w:tab/>
        <w:t xml:space="preserve">אני לא אמרתי את זה. אמרתי שהכסף, לא השיניים. </w:t>
      </w:r>
    </w:p>
    <w:p w:rsidR="00FC26BE" w:rsidRDefault="00FC26BE" w:rsidP="00FC26BE">
      <w:pPr>
        <w:pStyle w:val="a3"/>
        <w:tabs>
          <w:tab w:val="left" w:pos="-2326"/>
        </w:tabs>
        <w:spacing w:line="360" w:lineRule="auto"/>
        <w:ind w:left="509" w:firstLine="426"/>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 xml:space="preserve">הכסף שטיפלת בשיניים זה הרכוש לך ואת מבקשת ואת המתנות. </w:t>
      </w:r>
    </w:p>
    <w:p w:rsidR="00FC26BE" w:rsidRDefault="00FC26BE" w:rsidP="00FC26BE">
      <w:pPr>
        <w:pStyle w:val="a3"/>
        <w:tabs>
          <w:tab w:val="left" w:pos="-5019"/>
        </w:tabs>
        <w:spacing w:line="360" w:lineRule="auto"/>
        <w:ind w:left="509" w:firstLine="426"/>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 xml:space="preserve">כן. את התכשיטים שקניתי לו לא הבאתי קבלות. </w:t>
      </w:r>
    </w:p>
    <w:p w:rsidR="00FC26BE" w:rsidRDefault="00FC26BE" w:rsidP="00FC26BE">
      <w:pPr>
        <w:pStyle w:val="a3"/>
        <w:spacing w:line="360" w:lineRule="auto"/>
        <w:ind w:left="1440" w:hanging="505"/>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 xml:space="preserve">איך את עושה הפרדה בין מה שאת נותנת מתנה או שאת משקיעה ברכוש, זה נראה לי אופרציה כבדה של זוג נשוי, פנקסנות. איך זה עובד אצלך? אני רוצה לדעת את המנגנון. </w:t>
      </w:r>
    </w:p>
    <w:p w:rsidR="00FC26BE" w:rsidRDefault="00FC26BE" w:rsidP="00351CAC">
      <w:pPr>
        <w:pStyle w:val="a3"/>
        <w:spacing w:line="360" w:lineRule="auto"/>
        <w:ind w:left="1440" w:hanging="505"/>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זה לא פנקסנות. כל המתנות שנרכשו לא</w:t>
      </w:r>
      <w:r w:rsidR="00351CAC">
        <w:rPr>
          <w:rFonts w:ascii="David" w:hAnsi="David" w:cs="David" w:hint="cs"/>
          <w:b/>
          <w:bCs/>
          <w:sz w:val="24"/>
          <w:szCs w:val="24"/>
          <w:rtl/>
        </w:rPr>
        <w:t>.</w:t>
      </w:r>
      <w:r>
        <w:rPr>
          <w:rFonts w:ascii="David" w:hAnsi="David" w:cs="David"/>
          <w:b/>
          <w:bCs/>
          <w:sz w:val="24"/>
          <w:szCs w:val="24"/>
          <w:rtl/>
        </w:rPr>
        <w:t>, כולל תכשיטים כולל כל מתנה שנרכשה לא</w:t>
      </w:r>
      <w:r w:rsidR="00351CAC">
        <w:rPr>
          <w:rFonts w:ascii="David" w:hAnsi="David" w:cs="David" w:hint="cs"/>
          <w:b/>
          <w:bCs/>
          <w:sz w:val="24"/>
          <w:szCs w:val="24"/>
          <w:rtl/>
        </w:rPr>
        <w:t>.</w:t>
      </w:r>
      <w:r>
        <w:rPr>
          <w:rFonts w:ascii="David" w:hAnsi="David" w:cs="David"/>
          <w:b/>
          <w:bCs/>
          <w:sz w:val="24"/>
          <w:szCs w:val="24"/>
          <w:rtl/>
        </w:rPr>
        <w:t xml:space="preserve"> לא רשומה על שמי, כל מה שרשום על שמי הוא שלי. במרמה ומניפולציות רגשיות שעברתי אז שמו נוסף, אין לו שום דבר שלו שהוא לבד. אין רכוש שהוא רשום לבד, זאת עובדה. " </w:t>
      </w:r>
    </w:p>
    <w:p w:rsidR="00FC26BE" w:rsidRDefault="00FC26BE" w:rsidP="00FC26BE">
      <w:pPr>
        <w:pStyle w:val="a3"/>
        <w:spacing w:line="360" w:lineRule="auto"/>
        <w:ind w:left="1440" w:hanging="505"/>
        <w:jc w:val="both"/>
        <w:rPr>
          <w:rFonts w:ascii="David" w:hAnsi="David" w:cs="David"/>
          <w:b/>
          <w:bCs/>
          <w:sz w:val="24"/>
          <w:szCs w:val="24"/>
          <w:rtl/>
        </w:rPr>
      </w:pPr>
    </w:p>
    <w:p w:rsidR="00FC26BE" w:rsidRDefault="00FC26BE" w:rsidP="00FC26BE">
      <w:pPr>
        <w:pStyle w:val="a3"/>
        <w:spacing w:line="360" w:lineRule="auto"/>
        <w:ind w:left="1440"/>
        <w:jc w:val="both"/>
        <w:rPr>
          <w:rFonts w:ascii="David" w:hAnsi="David" w:cs="David"/>
          <w:sz w:val="24"/>
          <w:szCs w:val="24"/>
          <w:rtl/>
        </w:rPr>
      </w:pPr>
      <w:r>
        <w:rPr>
          <w:rFonts w:ascii="David" w:hAnsi="David" w:cs="David"/>
          <w:sz w:val="24"/>
          <w:szCs w:val="24"/>
          <w:rtl/>
        </w:rPr>
        <w:t>(פרו' מיום 9/2/22 ב-</w:t>
      </w:r>
      <w:r>
        <w:rPr>
          <w:rFonts w:ascii="David" w:hAnsi="David" w:cs="David"/>
          <w:sz w:val="24"/>
          <w:szCs w:val="24"/>
          <w:u w:val="single"/>
          <w:rtl/>
        </w:rPr>
        <w:t xml:space="preserve">תלה"מ 61437-05-19 </w:t>
      </w:r>
      <w:r>
        <w:rPr>
          <w:rFonts w:ascii="David" w:hAnsi="David" w:cs="David"/>
          <w:sz w:val="24"/>
          <w:szCs w:val="24"/>
          <w:rtl/>
        </w:rPr>
        <w:t>עמ' 20, ש' 14-1)</w:t>
      </w:r>
    </w:p>
    <w:p w:rsidR="00FC26BE" w:rsidRDefault="00FC26BE" w:rsidP="00FC26BE">
      <w:pPr>
        <w:pStyle w:val="a3"/>
        <w:spacing w:line="360" w:lineRule="auto"/>
        <w:ind w:left="1440" w:hanging="505"/>
        <w:jc w:val="both"/>
        <w:rPr>
          <w:rFonts w:ascii="David" w:hAnsi="David" w:cs="David"/>
          <w:sz w:val="24"/>
          <w:szCs w:val="24"/>
          <w:rtl/>
        </w:rPr>
      </w:pPr>
    </w:p>
    <w:p w:rsidR="00FC26BE" w:rsidRDefault="00FC26BE" w:rsidP="00FC26BE">
      <w:pPr>
        <w:spacing w:line="360" w:lineRule="auto"/>
        <w:ind w:left="720"/>
        <w:jc w:val="both"/>
        <w:rPr>
          <w:rFonts w:ascii="David" w:hAnsi="David"/>
          <w:rtl/>
        </w:rPr>
      </w:pPr>
      <w:r>
        <w:rPr>
          <w:rFonts w:ascii="David" w:hAnsi="David"/>
          <w:rtl/>
        </w:rPr>
        <w:t>במסגרת ההוכחות עומתה האישה עם קבלות על טיפולי שיניים בסך 66,000 ₪ בלבד ( פרו' מיום 9/2/22 ב-</w:t>
      </w:r>
      <w:r>
        <w:rPr>
          <w:rFonts w:ascii="David" w:hAnsi="David"/>
          <w:u w:val="single"/>
          <w:rtl/>
        </w:rPr>
        <w:t>תלה"מ 61437-05-19</w:t>
      </w:r>
      <w:r>
        <w:rPr>
          <w:rFonts w:ascii="David" w:hAnsi="David"/>
          <w:rtl/>
        </w:rPr>
        <w:t xml:space="preserve">, בעמ' 19 ש' 10-3) (כזכור טענה להלוואה בסך 100,000 ₪ בעבור טיפולי שיניים) הגם שאיני נדרש להכריע בסכום שהועבר הדבר מאיר מזווית נוספת שהצדדים, כבני זוג בעלי שיתוף כלכלי ולא הפרדה רכושית לא ניהלו פנקסנות ותיעוד של העברת הכספים האחד לשנייה ועל כן מדובר בהתנהלות כספית רגילה בין בני זוג שאינה מקימה עילה להשבת כספים. </w:t>
      </w:r>
    </w:p>
    <w:p w:rsidR="00FC26BE" w:rsidRDefault="00FC26BE" w:rsidP="00FC26BE">
      <w:pPr>
        <w:spacing w:line="360" w:lineRule="auto"/>
        <w:ind w:left="720"/>
        <w:jc w:val="both"/>
        <w:rPr>
          <w:rFonts w:ascii="David" w:hAnsi="David"/>
          <w:rtl/>
        </w:rPr>
      </w:pPr>
    </w:p>
    <w:p w:rsidR="00FC26BE" w:rsidRDefault="00FC26BE" w:rsidP="00FC26BE">
      <w:pPr>
        <w:spacing w:line="360" w:lineRule="auto"/>
        <w:ind w:firstLine="720"/>
        <w:jc w:val="both"/>
        <w:rPr>
          <w:rFonts w:ascii="David" w:hAnsi="David"/>
          <w:b/>
          <w:bCs/>
          <w:color w:val="000000"/>
        </w:rPr>
      </w:pPr>
      <w:r>
        <w:rPr>
          <w:rFonts w:ascii="David" w:hAnsi="David"/>
          <w:b/>
          <w:bCs/>
          <w:color w:val="000000"/>
          <w:rtl/>
        </w:rPr>
        <w:t>חלוקה לא שוויונית מכוח סעיף 8(2) לחוק יחסי ממון:</w:t>
      </w:r>
    </w:p>
    <w:p w:rsidR="00FC26BE" w:rsidRDefault="00FC26BE" w:rsidP="00FC26BE">
      <w:pPr>
        <w:spacing w:line="360" w:lineRule="auto"/>
        <w:jc w:val="both"/>
        <w:rPr>
          <w:rFonts w:ascii="David" w:hAnsi="David"/>
          <w:b/>
          <w:bCs/>
          <w:color w:val="000000"/>
          <w:rtl/>
        </w:rPr>
      </w:pPr>
    </w:p>
    <w:p w:rsidR="00FC26BE" w:rsidRDefault="00FC26BE" w:rsidP="00FC26BE">
      <w:pPr>
        <w:spacing w:line="360" w:lineRule="auto"/>
        <w:ind w:left="720" w:hanging="720"/>
        <w:jc w:val="both"/>
        <w:rPr>
          <w:rFonts w:ascii="David" w:hAnsi="David"/>
          <w:color w:val="000000"/>
        </w:rPr>
      </w:pPr>
      <w:r>
        <w:rPr>
          <w:rFonts w:ascii="David" w:hAnsi="David"/>
          <w:color w:val="000000"/>
          <w:rtl/>
        </w:rPr>
        <w:t>24.</w:t>
      </w:r>
      <w:r>
        <w:rPr>
          <w:rFonts w:ascii="David" w:hAnsi="David"/>
          <w:color w:val="000000"/>
          <w:rtl/>
        </w:rPr>
        <w:tab/>
        <w:t>האישה טענה שיש להשתמש בסעיף 8(2) שעניינו חלוקה בלתי שוויונית מן הטעם שאיש לא עמד במבחן "המאמץ המשותף" היא השקיעה את כל הכספים ולא מגיע לו דבר מהדירה</w:t>
      </w:r>
    </w:p>
    <w:p w:rsidR="00FC26BE" w:rsidRDefault="00FC26BE" w:rsidP="00FC26BE">
      <w:pPr>
        <w:pStyle w:val="a3"/>
        <w:spacing w:line="360" w:lineRule="auto"/>
        <w:jc w:val="both"/>
        <w:rPr>
          <w:rFonts w:ascii="David" w:hAnsi="David" w:cs="David"/>
          <w:color w:val="000000"/>
          <w:sz w:val="24"/>
          <w:szCs w:val="24"/>
          <w:rtl/>
        </w:rPr>
      </w:pPr>
      <w:r>
        <w:rPr>
          <w:rFonts w:ascii="David" w:hAnsi="David" w:cs="David"/>
          <w:color w:val="000000"/>
          <w:sz w:val="24"/>
          <w:szCs w:val="24"/>
          <w:rtl/>
        </w:rPr>
        <w:t>הכלל הוא שרק לעיתים נדירות תנצל הערכאה המשפטית את הסמכות שהוקנתה לה בסעיף 8(2) לחוק יחסי ממון לסטות מחלוקה שוויונית. (</w:t>
      </w:r>
      <w:r>
        <w:rPr>
          <w:rFonts w:ascii="David" w:hAnsi="David" w:cs="David"/>
          <w:color w:val="000000"/>
          <w:sz w:val="24"/>
          <w:szCs w:val="24"/>
          <w:u w:val="single"/>
          <w:rtl/>
        </w:rPr>
        <w:t xml:space="preserve">בע"מ 614/07 </w:t>
      </w:r>
      <w:r>
        <w:rPr>
          <w:rFonts w:ascii="David" w:hAnsi="David" w:cs="David"/>
          <w:b/>
          <w:bCs/>
          <w:color w:val="000000"/>
          <w:sz w:val="24"/>
          <w:szCs w:val="24"/>
          <w:rtl/>
        </w:rPr>
        <w:t xml:space="preserve">פלונית </w:t>
      </w:r>
      <w:r>
        <w:rPr>
          <w:rFonts w:ascii="David" w:hAnsi="David" w:cs="David"/>
          <w:color w:val="000000"/>
          <w:sz w:val="24"/>
          <w:szCs w:val="24"/>
          <w:rtl/>
        </w:rPr>
        <w:t xml:space="preserve">נ' </w:t>
      </w:r>
      <w:r>
        <w:rPr>
          <w:rFonts w:ascii="David" w:hAnsi="David" w:cs="David"/>
          <w:b/>
          <w:bCs/>
          <w:color w:val="000000"/>
          <w:sz w:val="24"/>
          <w:szCs w:val="24"/>
          <w:rtl/>
        </w:rPr>
        <w:t>פלוני</w:t>
      </w:r>
      <w:r>
        <w:rPr>
          <w:rFonts w:ascii="David" w:hAnsi="David" w:cs="David"/>
          <w:color w:val="000000"/>
          <w:sz w:val="24"/>
          <w:szCs w:val="24"/>
          <w:rtl/>
        </w:rPr>
        <w:t>, (16/4/2008 סעיף 11(א) לפסק הדין)</w:t>
      </w:r>
    </w:p>
    <w:p w:rsidR="00FC26BE" w:rsidRDefault="00FC26BE" w:rsidP="00FC26BE">
      <w:pPr>
        <w:spacing w:line="360" w:lineRule="auto"/>
        <w:ind w:left="720"/>
        <w:jc w:val="both"/>
        <w:rPr>
          <w:rFonts w:ascii="David" w:hAnsi="David"/>
          <w:color w:val="000000"/>
          <w:rtl/>
        </w:rPr>
      </w:pPr>
      <w:r>
        <w:rPr>
          <w:rFonts w:ascii="David" w:hAnsi="David"/>
          <w:color w:val="000000"/>
          <w:rtl/>
        </w:rPr>
        <w:lastRenderedPageBreak/>
        <w:t xml:space="preserve">הדבר מקבל משנה תוקף שעה שאין בפי האישה כל טענה המצדיקה היעתרות לבקשתה והנימוק היחיד הוא השקעתה ביתר, של סכומי כסף בזוגיות. קבלת טענה זו כשלעצמה כמספיקה עלולה להביא למדרון חלקלק שיסתור את כוונת המחוקק והפסיקה. מבלי לגרוע בכך </w:t>
      </w:r>
      <w:r>
        <w:rPr>
          <w:rFonts w:ascii="David" w:hAnsi="David"/>
          <w:rtl/>
        </w:rPr>
        <w:t>עתירת האישה לשימוש בסעיף 8(2) לחוק יחסי ממון בדרך של קביעת 100% לה  ואף לא אחוז אחד לאיש  מהווה בפועל ניסיון לעקוף את הרישום שביטא את הכוונה האמיתית שלה.</w:t>
      </w:r>
    </w:p>
    <w:p w:rsidR="00FC26BE" w:rsidRDefault="00FC26BE" w:rsidP="00FC26BE">
      <w:pPr>
        <w:spacing w:line="360" w:lineRule="auto"/>
        <w:ind w:firstLine="720"/>
        <w:jc w:val="both"/>
        <w:rPr>
          <w:rFonts w:ascii="David" w:hAnsi="David"/>
          <w:color w:val="000000"/>
          <w:rtl/>
        </w:rPr>
      </w:pPr>
      <w:r>
        <w:rPr>
          <w:rFonts w:ascii="David" w:hAnsi="David"/>
          <w:rtl/>
        </w:rPr>
        <w:t xml:space="preserve">סיכומו של דבר הטענה נדחית.  </w:t>
      </w:r>
    </w:p>
    <w:p w:rsidR="00FC26BE" w:rsidRDefault="00FC26BE" w:rsidP="00FC26BE">
      <w:pPr>
        <w:spacing w:line="360" w:lineRule="auto"/>
        <w:ind w:firstLine="720"/>
        <w:jc w:val="both"/>
        <w:rPr>
          <w:rFonts w:ascii="David" w:hAnsi="David"/>
          <w:color w:val="000000"/>
          <w:rtl/>
        </w:rPr>
      </w:pPr>
    </w:p>
    <w:p w:rsidR="00FC26BE" w:rsidRDefault="00FC26BE" w:rsidP="00FC26BE">
      <w:pPr>
        <w:spacing w:line="360" w:lineRule="auto"/>
        <w:ind w:firstLine="720"/>
        <w:jc w:val="both"/>
        <w:rPr>
          <w:rFonts w:ascii="David" w:hAnsi="David"/>
          <w:b/>
          <w:bCs/>
        </w:rPr>
      </w:pPr>
      <w:r>
        <w:rPr>
          <w:rFonts w:ascii="David" w:hAnsi="David"/>
          <w:b/>
          <w:bCs/>
          <w:rtl/>
        </w:rPr>
        <w:t>דמי שימוש:</w:t>
      </w:r>
    </w:p>
    <w:p w:rsidR="00FC26BE" w:rsidRDefault="00FC26BE" w:rsidP="00FC26BE">
      <w:pPr>
        <w:spacing w:line="360" w:lineRule="auto"/>
        <w:ind w:firstLine="720"/>
        <w:jc w:val="both"/>
        <w:rPr>
          <w:rFonts w:ascii="David" w:hAnsi="David"/>
          <w:b/>
          <w:bCs/>
          <w:rtl/>
        </w:rPr>
      </w:pPr>
    </w:p>
    <w:p w:rsidR="00FC26BE" w:rsidRDefault="00FC26BE" w:rsidP="00FC26BE">
      <w:pPr>
        <w:spacing w:line="360" w:lineRule="auto"/>
        <w:ind w:left="720" w:hanging="720"/>
        <w:jc w:val="both"/>
        <w:rPr>
          <w:rFonts w:ascii="David" w:hAnsi="David"/>
        </w:rPr>
      </w:pPr>
      <w:r>
        <w:rPr>
          <w:rFonts w:ascii="David" w:hAnsi="David"/>
          <w:rtl/>
        </w:rPr>
        <w:t>25.</w:t>
      </w:r>
      <w:r>
        <w:rPr>
          <w:rFonts w:ascii="David" w:hAnsi="David"/>
          <w:rtl/>
        </w:rPr>
        <w:tab/>
        <w:t xml:space="preserve">דמי המשכנתא שולמו על ידי האישה בלבד ועל כן התביעה לדמי שימוש נדחית. אם בכך לא די הרי שמהאיש נמנע הצורך בתשלום דמי מדור. אם בכל האמור לא די לא הוכיח האיש את תביעתו כנדרש בתביעה כספית שהיא מהות התביעה לדמי שימוש ראוי, ולא כימת הסכומים  הנתבעים.   </w:t>
      </w:r>
    </w:p>
    <w:p w:rsidR="00FC26BE" w:rsidRDefault="00FC26BE" w:rsidP="00FC26BE">
      <w:pPr>
        <w:spacing w:line="360" w:lineRule="auto"/>
        <w:ind w:left="720" w:hanging="720"/>
        <w:jc w:val="both"/>
        <w:rPr>
          <w:rFonts w:ascii="David" w:hAnsi="David"/>
          <w:rtl/>
        </w:rPr>
      </w:pPr>
    </w:p>
    <w:p w:rsidR="00FC26BE" w:rsidRDefault="00FC26BE" w:rsidP="00FC26BE">
      <w:pPr>
        <w:spacing w:line="360" w:lineRule="auto"/>
        <w:jc w:val="both"/>
        <w:rPr>
          <w:rFonts w:ascii="David" w:hAnsi="David"/>
          <w:b/>
          <w:bCs/>
          <w:sz w:val="26"/>
          <w:szCs w:val="26"/>
          <w:u w:val="single"/>
          <w:rtl/>
        </w:rPr>
      </w:pPr>
      <w:r>
        <w:rPr>
          <w:rFonts w:ascii="David" w:hAnsi="David"/>
          <w:b/>
          <w:bCs/>
          <w:sz w:val="26"/>
          <w:szCs w:val="26"/>
          <w:u w:val="single"/>
          <w:rtl/>
        </w:rPr>
        <w:t>סוף דבר</w:t>
      </w:r>
      <w:r>
        <w:rPr>
          <w:rFonts w:ascii="David" w:hAnsi="David"/>
          <w:b/>
          <w:bCs/>
          <w:sz w:val="26"/>
          <w:szCs w:val="26"/>
          <w:rtl/>
        </w:rPr>
        <w:t>:</w:t>
      </w:r>
    </w:p>
    <w:p w:rsidR="00FC26BE" w:rsidRDefault="00FC26BE" w:rsidP="00FC26BE">
      <w:pPr>
        <w:spacing w:line="360" w:lineRule="auto"/>
        <w:jc w:val="both"/>
        <w:rPr>
          <w:rFonts w:ascii="David" w:hAnsi="David"/>
          <w:b/>
          <w:bCs/>
          <w:sz w:val="26"/>
          <w:szCs w:val="26"/>
          <w:u w:val="single"/>
          <w:rtl/>
        </w:rPr>
      </w:pPr>
    </w:p>
    <w:p w:rsidR="00FC26BE" w:rsidRDefault="00FC26BE" w:rsidP="00FC26BE">
      <w:pPr>
        <w:spacing w:line="360" w:lineRule="auto"/>
        <w:jc w:val="both"/>
        <w:rPr>
          <w:rFonts w:ascii="David" w:hAnsi="David"/>
          <w:rtl/>
        </w:rPr>
      </w:pPr>
      <w:r>
        <w:rPr>
          <w:rFonts w:ascii="David" w:hAnsi="David"/>
          <w:rtl/>
        </w:rPr>
        <w:t>26.</w:t>
      </w:r>
      <w:r>
        <w:rPr>
          <w:rFonts w:ascii="David" w:hAnsi="David"/>
          <w:rtl/>
        </w:rPr>
        <w:tab/>
        <w:t>לאור המובא והמקובץ לעיל מורה כדלקמן:</w:t>
      </w:r>
    </w:p>
    <w:p w:rsidR="00FC26BE" w:rsidRDefault="00FC26BE" w:rsidP="00FC26BE">
      <w:pPr>
        <w:spacing w:line="360" w:lineRule="auto"/>
        <w:jc w:val="both"/>
        <w:rPr>
          <w:rFonts w:ascii="David" w:hAnsi="David"/>
          <w:rtl/>
        </w:rPr>
      </w:pPr>
    </w:p>
    <w:p w:rsidR="00FC26BE" w:rsidRDefault="00FC26BE" w:rsidP="00351CAC">
      <w:pPr>
        <w:spacing w:line="360" w:lineRule="auto"/>
        <w:ind w:left="1440" w:hanging="720"/>
        <w:jc w:val="both"/>
        <w:rPr>
          <w:rFonts w:ascii="David" w:hAnsi="David"/>
          <w:rtl/>
        </w:rPr>
      </w:pPr>
      <w:r>
        <w:rPr>
          <w:rFonts w:ascii="David" w:hAnsi="David"/>
          <w:rtl/>
        </w:rPr>
        <w:t>א.</w:t>
      </w:r>
      <w:r>
        <w:rPr>
          <w:rFonts w:ascii="David" w:hAnsi="David"/>
          <w:rtl/>
        </w:rPr>
        <w:tab/>
        <w:t xml:space="preserve">התביעה להצהיר שהדירה היא בבעלות האישה לבדה נדחית. מורה על פירוק שיתוף בדירה ברחוב </w:t>
      </w:r>
      <w:r w:rsidR="00351CAC">
        <w:rPr>
          <w:rFonts w:ascii="David" w:hAnsi="David" w:hint="cs"/>
        </w:rPr>
        <w:t>XXX</w:t>
      </w:r>
      <w:r>
        <w:rPr>
          <w:rFonts w:ascii="David" w:hAnsi="David"/>
          <w:rtl/>
        </w:rPr>
        <w:t xml:space="preserve"> הידועה גם כחלקה </w:t>
      </w:r>
      <w:r w:rsidR="00351CAC">
        <w:rPr>
          <w:rFonts w:ascii="David" w:hAnsi="David" w:hint="cs"/>
        </w:rPr>
        <w:t>XX</w:t>
      </w:r>
      <w:r>
        <w:rPr>
          <w:rFonts w:ascii="David" w:hAnsi="David"/>
          <w:rtl/>
        </w:rPr>
        <w:t xml:space="preserve"> גוש </w:t>
      </w:r>
      <w:r w:rsidR="00351CAC">
        <w:rPr>
          <w:rFonts w:ascii="David" w:hAnsi="David" w:hint="cs"/>
        </w:rPr>
        <w:t>XXX</w:t>
      </w:r>
      <w:r>
        <w:rPr>
          <w:rFonts w:ascii="David" w:hAnsi="David"/>
          <w:rtl/>
        </w:rPr>
        <w:t xml:space="preserve"> באילת וחלוקת התמורה בקיזוז כל עליות המכר, מיסוי ככל שקיים, חובות לרבות חוב המשכנתא בין הצדדים בשווה.</w:t>
      </w:r>
      <w:r>
        <w:rPr>
          <w:rFonts w:ascii="David" w:hAnsi="David"/>
          <w:rtl/>
        </w:rPr>
        <w:tab/>
      </w:r>
      <w:r>
        <w:rPr>
          <w:rFonts w:ascii="David" w:hAnsi="David"/>
          <w:rtl/>
        </w:rPr>
        <w:tab/>
      </w:r>
    </w:p>
    <w:p w:rsidR="00FC26BE" w:rsidRDefault="00FC26BE" w:rsidP="00FC26BE">
      <w:pPr>
        <w:spacing w:line="360" w:lineRule="auto"/>
        <w:ind w:left="720" w:firstLine="720"/>
        <w:jc w:val="both"/>
        <w:rPr>
          <w:rFonts w:ascii="David" w:hAnsi="David"/>
          <w:rtl/>
        </w:rPr>
      </w:pPr>
      <w:r>
        <w:rPr>
          <w:rFonts w:ascii="David" w:hAnsi="David"/>
          <w:rtl/>
        </w:rPr>
        <w:t xml:space="preserve"> לכל אחד מהצדדים זכות ראשונים לרכוש את חלקו של האחר .</w:t>
      </w:r>
    </w:p>
    <w:p w:rsidR="00FC26BE" w:rsidRDefault="00FC26BE" w:rsidP="00FC26BE">
      <w:pPr>
        <w:spacing w:line="360" w:lineRule="auto"/>
        <w:ind w:left="720" w:firstLine="720"/>
        <w:jc w:val="both"/>
        <w:rPr>
          <w:rFonts w:ascii="David" w:hAnsi="David"/>
          <w:rtl/>
        </w:rPr>
      </w:pPr>
    </w:p>
    <w:p w:rsidR="00FC26BE" w:rsidRDefault="00FC26BE" w:rsidP="00FC26BE">
      <w:pPr>
        <w:pStyle w:val="a3"/>
        <w:spacing w:line="360" w:lineRule="auto"/>
        <w:ind w:left="1440" w:hanging="789"/>
        <w:jc w:val="both"/>
        <w:rPr>
          <w:rFonts w:ascii="David" w:hAnsi="David" w:cs="David"/>
          <w:sz w:val="24"/>
          <w:szCs w:val="24"/>
        </w:rPr>
      </w:pPr>
      <w:r>
        <w:rPr>
          <w:rFonts w:ascii="David" w:hAnsi="David" w:cs="David"/>
          <w:sz w:val="24"/>
          <w:szCs w:val="24"/>
          <w:rtl/>
        </w:rPr>
        <w:t>ב.</w:t>
      </w:r>
      <w:r>
        <w:rPr>
          <w:rFonts w:ascii="David" w:hAnsi="David" w:cs="David"/>
          <w:sz w:val="24"/>
          <w:szCs w:val="24"/>
          <w:rtl/>
        </w:rPr>
        <w:tab/>
        <w:t>הרכב יישאר לאיש  ויועבר על שמו של האיש בתוך 14 יום. האישה תחתום על כל המסמכים לצורך מהעברת הבעלות שבעלותם יישא האיש.</w:t>
      </w:r>
    </w:p>
    <w:p w:rsidR="00FC26BE" w:rsidRDefault="00FC26BE" w:rsidP="00FC26BE">
      <w:pPr>
        <w:pStyle w:val="a3"/>
        <w:spacing w:line="360" w:lineRule="auto"/>
        <w:ind w:left="1440" w:hanging="789"/>
        <w:jc w:val="both"/>
        <w:rPr>
          <w:rFonts w:ascii="David" w:hAnsi="David" w:cs="David"/>
          <w:sz w:val="24"/>
          <w:szCs w:val="24"/>
          <w:rtl/>
        </w:rPr>
      </w:pPr>
    </w:p>
    <w:p w:rsidR="00FC26BE" w:rsidRDefault="00FC26BE" w:rsidP="00FC26BE">
      <w:pPr>
        <w:pStyle w:val="a3"/>
        <w:spacing w:line="360" w:lineRule="auto"/>
        <w:ind w:left="360"/>
        <w:jc w:val="both"/>
        <w:rPr>
          <w:rFonts w:ascii="David" w:hAnsi="David" w:cs="David"/>
          <w:sz w:val="24"/>
          <w:szCs w:val="24"/>
        </w:rPr>
      </w:pPr>
      <w:r>
        <w:rPr>
          <w:rFonts w:ascii="David" w:hAnsi="David" w:cs="David"/>
          <w:sz w:val="24"/>
          <w:szCs w:val="24"/>
          <w:rtl/>
        </w:rPr>
        <w:tab/>
        <w:t>ג.</w:t>
      </w:r>
      <w:r>
        <w:rPr>
          <w:rFonts w:ascii="David" w:hAnsi="David" w:cs="David"/>
          <w:sz w:val="24"/>
          <w:szCs w:val="24"/>
          <w:rtl/>
        </w:rPr>
        <w:tab/>
        <w:t>הרכב הנוסף יישאר לאישה ושוויו לא יאוזן.</w:t>
      </w:r>
    </w:p>
    <w:p w:rsidR="00FC26BE" w:rsidRDefault="00FC26BE" w:rsidP="00FC26BE">
      <w:pPr>
        <w:pStyle w:val="a3"/>
        <w:spacing w:line="360" w:lineRule="auto"/>
        <w:ind w:left="360"/>
        <w:jc w:val="both"/>
        <w:rPr>
          <w:rFonts w:ascii="David" w:hAnsi="David" w:cs="David"/>
          <w:sz w:val="24"/>
          <w:szCs w:val="24"/>
          <w:rtl/>
        </w:rPr>
      </w:pPr>
    </w:p>
    <w:p w:rsidR="00FC26BE" w:rsidRDefault="00FC26BE" w:rsidP="00FC26BE">
      <w:pPr>
        <w:pStyle w:val="a3"/>
        <w:spacing w:line="360" w:lineRule="auto"/>
        <w:ind w:left="1440" w:hanging="720"/>
        <w:jc w:val="both"/>
        <w:rPr>
          <w:rFonts w:ascii="David" w:hAnsi="David" w:cs="David"/>
          <w:sz w:val="24"/>
          <w:szCs w:val="24"/>
        </w:rPr>
      </w:pPr>
      <w:r>
        <w:rPr>
          <w:rFonts w:ascii="David" w:hAnsi="David" w:cs="David"/>
          <w:sz w:val="24"/>
          <w:szCs w:val="24"/>
          <w:rtl/>
        </w:rPr>
        <w:t>ד.</w:t>
      </w:r>
      <w:r>
        <w:rPr>
          <w:rFonts w:ascii="David" w:hAnsi="David" w:cs="David"/>
          <w:sz w:val="24"/>
          <w:szCs w:val="24"/>
          <w:rtl/>
        </w:rPr>
        <w:tab/>
        <w:t>האיש יעביר לאישה סך של 28,548 ₪ כשסכום זה צמוד למדד המחירים לצרכן ונושא הפרשי הצמדה וריבית מיום התשלום על ידי האישה ועד לתשלום בפועל על ידי האיש.</w:t>
      </w:r>
    </w:p>
    <w:p w:rsidR="00FC26BE" w:rsidRDefault="00FC26BE" w:rsidP="00FC26BE">
      <w:pPr>
        <w:pStyle w:val="a3"/>
        <w:spacing w:line="360" w:lineRule="auto"/>
        <w:rPr>
          <w:rFonts w:ascii="David" w:hAnsi="David" w:cs="David"/>
          <w:sz w:val="24"/>
          <w:szCs w:val="24"/>
        </w:rPr>
      </w:pPr>
      <w:r>
        <w:rPr>
          <w:rFonts w:ascii="David" w:hAnsi="David" w:cs="David"/>
          <w:sz w:val="24"/>
          <w:szCs w:val="24"/>
          <w:rtl/>
        </w:rPr>
        <w:t>ה.</w:t>
      </w:r>
      <w:r>
        <w:rPr>
          <w:rFonts w:ascii="David" w:hAnsi="David" w:cs="David"/>
          <w:sz w:val="24"/>
          <w:szCs w:val="24"/>
          <w:rtl/>
        </w:rPr>
        <w:tab/>
        <w:t>התביעה להשבת כספי טיפול השיניים נדחית.</w:t>
      </w:r>
    </w:p>
    <w:p w:rsidR="00FC26BE" w:rsidRDefault="00FC26BE" w:rsidP="00FC26BE">
      <w:pPr>
        <w:spacing w:line="360" w:lineRule="auto"/>
        <w:ind w:left="720"/>
        <w:jc w:val="both"/>
        <w:rPr>
          <w:rFonts w:ascii="David" w:hAnsi="David"/>
        </w:rPr>
      </w:pPr>
      <w:r>
        <w:rPr>
          <w:rFonts w:ascii="David" w:hAnsi="David"/>
          <w:rtl/>
        </w:rPr>
        <w:t>ו.</w:t>
      </w:r>
      <w:r>
        <w:rPr>
          <w:rFonts w:ascii="David" w:hAnsi="David"/>
          <w:rtl/>
        </w:rPr>
        <w:tab/>
        <w:t>איזון המשאבים יעשה על פי חלופה א' לחוות הדעת האקטוארית.</w:t>
      </w:r>
    </w:p>
    <w:p w:rsidR="00FC26BE" w:rsidRDefault="00FC26BE" w:rsidP="00FC26BE">
      <w:pPr>
        <w:pStyle w:val="a3"/>
        <w:spacing w:line="360" w:lineRule="auto"/>
        <w:rPr>
          <w:rFonts w:ascii="David" w:hAnsi="David" w:cs="David"/>
          <w:sz w:val="24"/>
          <w:szCs w:val="24"/>
          <w:rtl/>
        </w:rPr>
      </w:pPr>
    </w:p>
    <w:p w:rsidR="00FC26BE" w:rsidRDefault="00FC26BE" w:rsidP="00FC26BE">
      <w:pPr>
        <w:spacing w:line="360" w:lineRule="auto"/>
        <w:ind w:left="720" w:hanging="720"/>
        <w:jc w:val="both"/>
        <w:rPr>
          <w:rFonts w:ascii="David" w:hAnsi="David"/>
          <w:rtl/>
        </w:rPr>
      </w:pPr>
      <w:r>
        <w:rPr>
          <w:rFonts w:ascii="David" w:hAnsi="David"/>
          <w:rtl/>
        </w:rPr>
        <w:t>27.</w:t>
      </w:r>
      <w:r>
        <w:rPr>
          <w:rFonts w:ascii="David" w:hAnsi="David"/>
          <w:rtl/>
        </w:rPr>
        <w:tab/>
        <w:t xml:space="preserve">בשים לב לתוצאה אליה הגעתי והדרך לא מצאתי לחייב מי מהצדדים בהוצאות לטובת משנהו וכל צד יישא בהוצאותיו. </w:t>
      </w:r>
    </w:p>
    <w:p w:rsidR="00FC26BE" w:rsidRDefault="00FC26BE" w:rsidP="00FC26BE">
      <w:pPr>
        <w:spacing w:line="360" w:lineRule="auto"/>
        <w:ind w:left="720" w:hanging="720"/>
        <w:jc w:val="both"/>
        <w:rPr>
          <w:rFonts w:ascii="David" w:hAnsi="David"/>
          <w:rtl/>
        </w:rPr>
      </w:pPr>
    </w:p>
    <w:p w:rsidR="00FC26BE" w:rsidRDefault="00FC26BE" w:rsidP="00FC26BE">
      <w:pPr>
        <w:spacing w:line="360" w:lineRule="auto"/>
        <w:ind w:left="720" w:hanging="720"/>
        <w:jc w:val="both"/>
        <w:rPr>
          <w:rFonts w:ascii="David" w:hAnsi="David"/>
          <w:rtl/>
        </w:rPr>
      </w:pPr>
      <w:r>
        <w:rPr>
          <w:rFonts w:ascii="David" w:hAnsi="David"/>
          <w:rtl/>
        </w:rPr>
        <w:t>28.</w:t>
      </w:r>
      <w:r>
        <w:rPr>
          <w:rFonts w:ascii="David" w:hAnsi="David"/>
          <w:rtl/>
        </w:rPr>
        <w:tab/>
        <w:t>מתיר פרסום פסק הדין בהשמטת כל פרט מזהה.</w:t>
      </w:r>
    </w:p>
    <w:p w:rsidR="00FC26BE" w:rsidRDefault="00FC26BE" w:rsidP="00FC26BE">
      <w:pPr>
        <w:spacing w:line="360" w:lineRule="auto"/>
        <w:ind w:left="720" w:hanging="720"/>
        <w:jc w:val="both"/>
        <w:rPr>
          <w:rFonts w:ascii="David" w:hAnsi="David"/>
          <w:rtl/>
        </w:rPr>
      </w:pPr>
    </w:p>
    <w:p w:rsidR="00FC26BE" w:rsidRDefault="00FC26BE" w:rsidP="00FC26BE">
      <w:pPr>
        <w:spacing w:line="360" w:lineRule="auto"/>
        <w:ind w:left="720" w:hanging="720"/>
        <w:jc w:val="both"/>
        <w:rPr>
          <w:rFonts w:ascii="David" w:hAnsi="David"/>
          <w:rtl/>
        </w:rPr>
      </w:pPr>
      <w:r>
        <w:rPr>
          <w:rFonts w:ascii="David" w:hAnsi="David"/>
          <w:rtl/>
        </w:rPr>
        <w:t>29.</w:t>
      </w:r>
      <w:r>
        <w:rPr>
          <w:rFonts w:ascii="David" w:hAnsi="David"/>
          <w:rtl/>
        </w:rPr>
        <w:tab/>
        <w:t xml:space="preserve">תואיל המזכירות לשלוח את פסק הדין לצדדים לסרוק את פסק הדין גם בתיק הקשור </w:t>
      </w:r>
      <w:r>
        <w:rPr>
          <w:rFonts w:ascii="David" w:hAnsi="David"/>
          <w:u w:val="single"/>
          <w:rtl/>
        </w:rPr>
        <w:t xml:space="preserve">תלה"מ  61437-05-1 </w:t>
      </w:r>
      <w:r>
        <w:rPr>
          <w:rFonts w:ascii="David" w:hAnsi="David"/>
          <w:b/>
          <w:bCs/>
          <w:rtl/>
        </w:rPr>
        <w:t>ולסגור את שני התיקים</w:t>
      </w:r>
      <w:r>
        <w:rPr>
          <w:rFonts w:ascii="David" w:hAnsi="David"/>
          <w:rtl/>
        </w:rPr>
        <w:t xml:space="preserve"> .</w:t>
      </w:r>
    </w:p>
    <w:p w:rsidR="00FC26BE" w:rsidRDefault="00FC26BE" w:rsidP="00FC26BE">
      <w:pPr>
        <w:spacing w:line="360" w:lineRule="auto"/>
        <w:jc w:val="both"/>
        <w:rPr>
          <w:rFonts w:ascii="Arial" w:hAnsi="Arial"/>
          <w:noProof w:val="0"/>
          <w:rtl/>
        </w:rPr>
      </w:pPr>
    </w:p>
    <w:p w:rsidR="00FC26BE" w:rsidRDefault="00FC26BE" w:rsidP="00FC26BE">
      <w:pPr>
        <w:spacing w:line="360" w:lineRule="auto"/>
        <w:jc w:val="both"/>
        <w:rPr>
          <w:rFonts w:ascii="Arial" w:hAnsi="Arial"/>
          <w:noProof w:val="0"/>
          <w:rtl/>
        </w:rPr>
      </w:pPr>
    </w:p>
    <w:p w:rsidR="00FC26BE" w:rsidRDefault="00FC26BE" w:rsidP="00FC26BE">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י"ח שבט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28 ינואר 2024</w:t>
          </w:r>
        </w:sdtContent>
      </w:sdt>
      <w:r>
        <w:rPr>
          <w:rFonts w:ascii="Arial" w:hAnsi="Arial"/>
          <w:noProof w:val="0"/>
          <w:rtl/>
        </w:rPr>
        <w:t>, בהעדר הצדדים.</w:t>
      </w:r>
    </w:p>
    <w:p w:rsidR="00FC26BE" w:rsidRDefault="00FC26BE" w:rsidP="00FC26BE">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FB84AA91FDE34ED9B741B0FBC5E3EC3D"/>
          </w:placeholder>
          <w:showingPlcHdr/>
          <w:text w:multiLine="1"/>
        </w:sdtPr>
        <w:sdtEndPr/>
        <w:sdtContent/>
      </w:sdt>
      <w:r>
        <w:rPr>
          <w:rFonts w:ascii="Arial" w:hAnsi="Arial"/>
          <w:noProof w:val="0"/>
          <w:rtl/>
        </w:rPr>
        <w:tab/>
      </w:r>
      <w:r>
        <w:rPr>
          <w:rFonts w:ascii="Arial" w:hAnsi="Arial"/>
          <w:noProof w:val="0"/>
          <w:rtl/>
        </w:rPr>
        <w:tab/>
        <w:t xml:space="preserve"> </w:t>
      </w:r>
    </w:p>
    <w:p w:rsidR="00FC26BE" w:rsidRDefault="001B5009" w:rsidP="00FC26BE">
      <w:pPr>
        <w:spacing w:line="360" w:lineRule="auto"/>
        <w:ind w:left="3600" w:firstLine="720"/>
        <w:rPr>
          <w:rtl/>
        </w:rPr>
      </w:pPr>
      <w:sdt>
        <w:sdtPr>
          <w:rPr>
            <w:rtl/>
          </w:rPr>
          <w:alias w:val="MergeField"/>
          <w:tag w:val="1237"/>
          <w:id w:val="-656302001"/>
        </w:sdtPr>
        <w:sdtEndPr/>
        <w:sdtContent>
          <w:r w:rsidR="00FC26BE">
            <w:drawing>
              <wp:inline distT="0" distB="0" distL="0" distR="0">
                <wp:extent cx="1685925" cy="1009650"/>
                <wp:effectExtent l="0" t="0" r="952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85925" cy="1009650"/>
                        </a:xfrm>
                        <a:prstGeom prst="rect">
                          <a:avLst/>
                        </a:prstGeom>
                        <a:noFill/>
                        <a:ln>
                          <a:noFill/>
                        </a:ln>
                      </pic:spPr>
                    </pic:pic>
                  </a:graphicData>
                </a:graphic>
              </wp:inline>
            </w:drawing>
          </w:r>
        </w:sdtContent>
      </w:sdt>
    </w:p>
    <w:p w:rsidR="00FC26BE" w:rsidRDefault="00FC26BE" w:rsidP="00FC26BE">
      <w:pPr>
        <w:spacing w:line="360" w:lineRule="auto"/>
        <w:ind w:left="3600" w:firstLine="720"/>
        <w:rPr>
          <w:rFonts w:ascii="Arial" w:hAnsi="Arial"/>
          <w:noProof w:val="0"/>
        </w:rPr>
      </w:pPr>
    </w:p>
    <w:p w:rsidR="00FC26BE" w:rsidRDefault="00FC26BE" w:rsidP="00FC26BE">
      <w:pPr>
        <w:spacing w:line="360" w:lineRule="auto"/>
        <w:jc w:val="both"/>
        <w:rPr>
          <w:rFonts w:ascii="Arial" w:hAnsi="Arial"/>
          <w:noProof w:val="0"/>
          <w:rtl/>
        </w:rPr>
      </w:pPr>
    </w:p>
    <w:p w:rsidR="00FC26BE" w:rsidRDefault="00FC26BE" w:rsidP="00FC26BE">
      <w:pPr>
        <w:spacing w:line="360" w:lineRule="auto"/>
        <w:jc w:val="both"/>
        <w:rPr>
          <w:rFonts w:ascii="Arial" w:hAnsi="Arial"/>
          <w:noProof w:val="0"/>
          <w:rtl/>
        </w:rPr>
      </w:pPr>
    </w:p>
    <w:p w:rsidR="00512360" w:rsidRDefault="00512360"/>
    <w:sectPr w:rsidR="00512360"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6BE"/>
    <w:rsid w:val="001B5009"/>
    <w:rsid w:val="00351CAC"/>
    <w:rsid w:val="00512360"/>
    <w:rsid w:val="00C11DC6"/>
    <w:rsid w:val="00FB3377"/>
    <w:rsid w:val="00FC26B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1817ED-691F-41B0-A215-E3A425B1F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26BE"/>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C26BE"/>
    <w:pPr>
      <w:spacing w:after="160" w:line="254" w:lineRule="auto"/>
      <w:ind w:left="720"/>
      <w:contextualSpacing/>
    </w:pPr>
    <w:rPr>
      <w:rFonts w:asciiTheme="minorHAnsi" w:eastAsiaTheme="minorHAnsi" w:hAnsiTheme="minorHAnsi" w:cstheme="minorBidi"/>
      <w:noProof w:val="0"/>
      <w:sz w:val="22"/>
      <w:szCs w:val="22"/>
    </w:rPr>
  </w:style>
  <w:style w:type="paragraph" w:styleId="a4">
    <w:name w:val="Quote"/>
    <w:basedOn w:val="a"/>
    <w:link w:val="a5"/>
    <w:uiPriority w:val="99"/>
    <w:qFormat/>
    <w:rsid w:val="00FC26BE"/>
    <w:pPr>
      <w:overflowPunct w:val="0"/>
      <w:autoSpaceDE w:val="0"/>
      <w:autoSpaceDN w:val="0"/>
      <w:adjustRightInd w:val="0"/>
      <w:ind w:left="851" w:right="851"/>
      <w:jc w:val="both"/>
    </w:pPr>
    <w:rPr>
      <w:sz w:val="22"/>
      <w:lang w:eastAsia="he-IL"/>
    </w:rPr>
  </w:style>
  <w:style w:type="character" w:customStyle="1" w:styleId="a5">
    <w:name w:val="ציטוט תו"/>
    <w:basedOn w:val="a0"/>
    <w:link w:val="a4"/>
    <w:uiPriority w:val="99"/>
    <w:rsid w:val="00FC26BE"/>
    <w:rPr>
      <w:rFonts w:ascii="Times New Roman" w:eastAsia="Times New Roman" w:hAnsi="Times New Roman" w:cs="David"/>
      <w:noProof/>
      <w:szCs w:val="24"/>
      <w:lang w:eastAsia="he-IL"/>
    </w:rPr>
  </w:style>
  <w:style w:type="table" w:styleId="a6">
    <w:name w:val="Table Grid"/>
    <w:basedOn w:val="a1"/>
    <w:rsid w:val="00FC26BE"/>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semiHidden/>
    <w:unhideWhenUsed/>
    <w:rsid w:val="00FC26BE"/>
    <w:pPr>
      <w:tabs>
        <w:tab w:val="center" w:pos="4153"/>
        <w:tab w:val="right" w:pos="8306"/>
      </w:tabs>
    </w:pPr>
  </w:style>
  <w:style w:type="character" w:customStyle="1" w:styleId="a8">
    <w:name w:val="כותרת עליונה תו"/>
    <w:basedOn w:val="a0"/>
    <w:link w:val="a7"/>
    <w:semiHidden/>
    <w:rsid w:val="00FC26BE"/>
    <w:rPr>
      <w:rFonts w:ascii="Times New Roman" w:eastAsia="Times New Roman" w:hAnsi="Times New Roman" w:cs="David"/>
      <w:noProof/>
      <w:sz w:val="24"/>
      <w:szCs w:val="24"/>
    </w:rPr>
  </w:style>
  <w:style w:type="paragraph" w:styleId="NormalWeb">
    <w:name w:val="Normal (Web)"/>
    <w:basedOn w:val="a"/>
    <w:uiPriority w:val="99"/>
    <w:semiHidden/>
    <w:unhideWhenUsed/>
    <w:rsid w:val="00FC26BE"/>
    <w:pPr>
      <w:bidi w:val="0"/>
      <w:spacing w:before="100" w:beforeAutospacing="1" w:after="100" w:afterAutospacing="1"/>
    </w:pPr>
    <w:rPr>
      <w:rFonts w:eastAsiaTheme="minorEastAsia" w:cs="Times New Roman"/>
      <w:noProof w:val="0"/>
    </w:rPr>
  </w:style>
  <w:style w:type="paragraph" w:styleId="a9">
    <w:name w:val="Balloon Text"/>
    <w:basedOn w:val="a"/>
    <w:link w:val="aa"/>
    <w:uiPriority w:val="99"/>
    <w:semiHidden/>
    <w:unhideWhenUsed/>
    <w:rsid w:val="00FB3377"/>
    <w:rPr>
      <w:rFonts w:ascii="Tahoma" w:hAnsi="Tahoma" w:cs="Tahoma"/>
      <w:sz w:val="18"/>
      <w:szCs w:val="18"/>
    </w:rPr>
  </w:style>
  <w:style w:type="character" w:customStyle="1" w:styleId="aa">
    <w:name w:val="טקסט בלונים תו"/>
    <w:basedOn w:val="a0"/>
    <w:link w:val="a9"/>
    <w:uiPriority w:val="99"/>
    <w:semiHidden/>
    <w:rsid w:val="00FB3377"/>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647844">
      <w:bodyDiv w:val="1"/>
      <w:marLeft w:val="0"/>
      <w:marRight w:val="0"/>
      <w:marTop w:val="0"/>
      <w:marBottom w:val="0"/>
      <w:divBdr>
        <w:top w:val="none" w:sz="0" w:space="0" w:color="auto"/>
        <w:left w:val="none" w:sz="0" w:space="0" w:color="auto"/>
        <w:bottom w:val="none" w:sz="0" w:space="0" w:color="auto"/>
        <w:right w:val="none" w:sz="0" w:space="0" w:color="auto"/>
      </w:divBdr>
    </w:div>
    <w:div w:id="184307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84AA91FDE34ED9B741B0FBC5E3EC3D"/>
        <w:category>
          <w:name w:val="כללי"/>
          <w:gallery w:val="placeholder"/>
        </w:category>
        <w:types>
          <w:type w:val="bbPlcHdr"/>
        </w:types>
        <w:behaviors>
          <w:behavior w:val="content"/>
        </w:behaviors>
        <w:guid w:val="{C90FE7CB-02ED-4CA9-BFBF-332CB9754E4B}"/>
      </w:docPartPr>
      <w:docPartBody>
        <w:p w:rsidR="00745709" w:rsidRDefault="007C1C8C" w:rsidP="007C1C8C">
          <w:pPr>
            <w:pStyle w:val="FB84AA91FDE34ED9B741B0FBC5E3EC3D"/>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C8C"/>
    <w:rsid w:val="005A1FA3"/>
    <w:rsid w:val="00745709"/>
    <w:rsid w:val="007C1C8C"/>
    <w:rsid w:val="00AE759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C1C8C"/>
  </w:style>
  <w:style w:type="paragraph" w:customStyle="1" w:styleId="FB84AA91FDE34ED9B741B0FBC5E3EC3D">
    <w:name w:val="FB84AA91FDE34ED9B741B0FBC5E3EC3D"/>
    <w:rsid w:val="007C1C8C"/>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4237</Words>
  <Characters>19406</Characters>
  <Application>Microsoft Office Word</Application>
  <DocSecurity>0</DocSecurity>
  <Lines>485</Lines>
  <Paragraphs>179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גרמאו מנגיסטו</cp:lastModifiedBy>
  <cp:revision>2</cp:revision>
  <cp:lastPrinted>2024-05-22T07:28:00Z</cp:lastPrinted>
  <dcterms:created xsi:type="dcterms:W3CDTF">2024-05-23T10:32:00Z</dcterms:created>
  <dcterms:modified xsi:type="dcterms:W3CDTF">2024-05-23T10:32:00Z</dcterms:modified>
</cp:coreProperties>
</file>